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434" w:rsidRDefault="00F03B32">
      <w:pPr>
        <w:spacing w:line="360" w:lineRule="auto"/>
        <w:jc w:val="center"/>
      </w:pPr>
      <w:r>
        <w:rPr>
          <w:rFonts w:ascii="Times New Roman" w:hAnsi="Times New Roman" w:cs="Times New Roman"/>
          <w:b/>
          <w:sz w:val="24"/>
        </w:rPr>
        <w:t>OBRAZLOŽENJE IZVRŠENJA FINANCIJSKOG PLANA HŽ INFRASTRUKTURE ZA  2025. GODINU</w:t>
      </w:r>
    </w:p>
    <w:p w:rsidR="00C36434" w:rsidRDefault="00F03B32">
      <w:pPr>
        <w:spacing w:line="360" w:lineRule="auto"/>
      </w:pPr>
      <w:r>
        <w:rPr>
          <w:rFonts w:ascii="Times New Roman" w:hAnsi="Times New Roman" w:cs="Times New Roman"/>
          <w:b/>
          <w:sz w:val="24"/>
          <w:u w:val="single"/>
        </w:rPr>
        <w:br/>
        <w:t>UVOD</w:t>
      </w:r>
    </w:p>
    <w:p w:rsidR="00C36434" w:rsidRDefault="00F03B32">
      <w:pPr>
        <w:spacing w:line="240" w:lineRule="auto"/>
        <w:jc w:val="both"/>
      </w:pPr>
      <w:r>
        <w:rPr>
          <w:rFonts w:ascii="Times New Roman" w:hAnsi="Times New Roman" w:cs="Times New Roman"/>
          <w:sz w:val="24"/>
        </w:rPr>
        <w:t>HŽ INFRASTRUKTURA d.o.o. je strateško društvo u vlasništvu Republike Hrvatske koje upravlja željezničkom infrastrukturom u Republici Hrvatskoj. Kao upravitelj željezničke infrastrukture, HŽ INFRASTRUKTURA d.o.o. je dužna osigurati siguran, pouzdan, nediskriminirajući, gospodarski učinkovit i razvojno održiv željeznički promet u skladu sa zakonskim propisima i ugovornim obvezama. Stoga, upravljanje željezničkom infrastrukturom kao djelatnost od javnog interesa obuhvaća:</w:t>
      </w:r>
    </w:p>
    <w:p w:rsidR="00C36434" w:rsidRDefault="00F03B32" w:rsidP="005E6B77">
      <w:pPr>
        <w:pStyle w:val="Odlomakpopisa"/>
        <w:numPr>
          <w:ilvl w:val="0"/>
          <w:numId w:val="9"/>
        </w:numPr>
        <w:spacing w:line="276" w:lineRule="auto"/>
        <w:jc w:val="both"/>
      </w:pPr>
      <w:r w:rsidRPr="0024001E">
        <w:rPr>
          <w:rFonts w:ascii="Times New Roman" w:hAnsi="Times New Roman" w:cs="Times New Roman"/>
          <w:sz w:val="24"/>
        </w:rPr>
        <w:t>Organizaciju i regulaciju željezničkog prometa</w:t>
      </w:r>
    </w:p>
    <w:p w:rsidR="00C36434" w:rsidRDefault="00F03B32" w:rsidP="005E6B77">
      <w:pPr>
        <w:pStyle w:val="Odlomakpopisa"/>
        <w:numPr>
          <w:ilvl w:val="0"/>
          <w:numId w:val="9"/>
        </w:numPr>
        <w:spacing w:line="276" w:lineRule="auto"/>
        <w:jc w:val="both"/>
      </w:pPr>
      <w:r w:rsidRPr="0024001E">
        <w:rPr>
          <w:rFonts w:ascii="Times New Roman" w:hAnsi="Times New Roman" w:cs="Times New Roman"/>
          <w:sz w:val="24"/>
        </w:rPr>
        <w:t>Osiguranje pristupa i korištenje željezničke infrastrukture svim željezničkim prijevoznicima koji ispunjavaju propisane uvjete</w:t>
      </w:r>
    </w:p>
    <w:p w:rsidR="00C36434" w:rsidRDefault="00F03B32" w:rsidP="005E6B77">
      <w:pPr>
        <w:pStyle w:val="Odlomakpopisa"/>
        <w:numPr>
          <w:ilvl w:val="0"/>
          <w:numId w:val="9"/>
        </w:numPr>
        <w:spacing w:line="276" w:lineRule="auto"/>
        <w:jc w:val="both"/>
      </w:pPr>
      <w:r w:rsidRPr="0024001E">
        <w:rPr>
          <w:rFonts w:ascii="Times New Roman" w:hAnsi="Times New Roman" w:cs="Times New Roman"/>
          <w:sz w:val="24"/>
        </w:rPr>
        <w:t xml:space="preserve">Održavanje željezničke infrastrukture </w:t>
      </w:r>
    </w:p>
    <w:p w:rsidR="00C36434" w:rsidRDefault="00F03B32" w:rsidP="005E6B77">
      <w:pPr>
        <w:pStyle w:val="Odlomakpopisa"/>
        <w:numPr>
          <w:ilvl w:val="0"/>
          <w:numId w:val="9"/>
        </w:numPr>
        <w:spacing w:line="276" w:lineRule="auto"/>
        <w:jc w:val="both"/>
      </w:pPr>
      <w:r w:rsidRPr="0024001E">
        <w:rPr>
          <w:rFonts w:ascii="Times New Roman" w:hAnsi="Times New Roman" w:cs="Times New Roman"/>
          <w:sz w:val="24"/>
        </w:rPr>
        <w:t>Izgradnju, dogradnju i obnovu kao i osuvremenjivanje željezničke infrastrukture</w:t>
      </w:r>
    </w:p>
    <w:p w:rsidR="00C36434" w:rsidRDefault="00F03B32">
      <w:pPr>
        <w:spacing w:line="240" w:lineRule="auto"/>
        <w:ind w:left="142"/>
        <w:jc w:val="both"/>
      </w:pPr>
      <w:r>
        <w:rPr>
          <w:rFonts w:ascii="Times New Roman" w:hAnsi="Times New Roman" w:cs="Times New Roman"/>
          <w:sz w:val="24"/>
        </w:rPr>
        <w:t>HŽ INFRASTRUKTURA d.o.o. upravlja s 2.617 kilometara pruge koje su kategorizirane na:</w:t>
      </w:r>
    </w:p>
    <w:p w:rsidR="00C36434" w:rsidRDefault="00F03B32" w:rsidP="005E6B77">
      <w:pPr>
        <w:pStyle w:val="Odlomakpopisa"/>
        <w:numPr>
          <w:ilvl w:val="0"/>
          <w:numId w:val="10"/>
        </w:numPr>
        <w:spacing w:line="276" w:lineRule="auto"/>
        <w:jc w:val="both"/>
      </w:pPr>
      <w:r w:rsidRPr="005E6B77">
        <w:rPr>
          <w:rFonts w:ascii="Times New Roman" w:hAnsi="Times New Roman" w:cs="Times New Roman"/>
          <w:sz w:val="24"/>
        </w:rPr>
        <w:t>Međunarodne pruge: glavne pruge – 782 km (30% ukupne mreže na kojoj se odvija</w:t>
      </w:r>
      <w:r w:rsidRPr="005E6B77">
        <w:rPr>
          <w:rFonts w:ascii="Times New Roman" w:hAnsi="Times New Roman" w:cs="Times New Roman"/>
          <w:color w:val="FF0000"/>
          <w:sz w:val="24"/>
        </w:rPr>
        <w:t xml:space="preserve"> </w:t>
      </w:r>
      <w:r w:rsidRPr="005E6B77">
        <w:rPr>
          <w:rFonts w:ascii="Times New Roman" w:hAnsi="Times New Roman" w:cs="Times New Roman"/>
          <w:sz w:val="24"/>
        </w:rPr>
        <w:t>71% ukupnog prometa) i  ostale pruge – 678 km (26% ukupne mreže na kojoj se odvija 21% ukupnog prometa)</w:t>
      </w:r>
    </w:p>
    <w:p w:rsidR="00C36434" w:rsidRDefault="00F03B32" w:rsidP="005E6B77">
      <w:pPr>
        <w:pStyle w:val="Odlomakpopisa"/>
        <w:numPr>
          <w:ilvl w:val="0"/>
          <w:numId w:val="10"/>
        </w:numPr>
        <w:spacing w:line="276" w:lineRule="auto"/>
        <w:jc w:val="both"/>
      </w:pPr>
      <w:r w:rsidRPr="005E6B77">
        <w:rPr>
          <w:rFonts w:ascii="Times New Roman" w:hAnsi="Times New Roman" w:cs="Times New Roman"/>
          <w:sz w:val="24"/>
        </w:rPr>
        <w:t>Regionalne pruge – 626 km (24% ukupne mreže na kojoj se odvija 6% ukupnog prometa)</w:t>
      </w:r>
    </w:p>
    <w:p w:rsidR="00C36434" w:rsidRDefault="00F03B32" w:rsidP="005E6B77">
      <w:pPr>
        <w:pStyle w:val="Odlomakpopisa"/>
        <w:numPr>
          <w:ilvl w:val="0"/>
          <w:numId w:val="10"/>
        </w:numPr>
        <w:spacing w:line="276" w:lineRule="auto"/>
        <w:jc w:val="both"/>
      </w:pPr>
      <w:r w:rsidRPr="005E6B77">
        <w:rPr>
          <w:rFonts w:ascii="Times New Roman" w:hAnsi="Times New Roman" w:cs="Times New Roman"/>
          <w:sz w:val="24"/>
        </w:rPr>
        <w:t>Lokalne pruge – 531 km (20% ukupne mreže na kojoj se odvija 2% ukupnog prometa)</w:t>
      </w:r>
    </w:p>
    <w:p w:rsidR="00C36434" w:rsidRDefault="00F03B32">
      <w:pPr>
        <w:spacing w:line="240" w:lineRule="auto"/>
        <w:jc w:val="both"/>
      </w:pPr>
      <w:r>
        <w:rPr>
          <w:rFonts w:ascii="Times New Roman" w:hAnsi="Times New Roman" w:cs="Times New Roman"/>
          <w:sz w:val="24"/>
        </w:rPr>
        <w:t xml:space="preserve">Osim pruga, željezničku infrastrukturu čine i ostali objekti u pružnom pojasu – službena mjesta, željezničko-cestovni prijelazi te mostovi, tuneli i propusti. </w:t>
      </w:r>
    </w:p>
    <w:p w:rsidR="00C36434" w:rsidRDefault="00F03B32">
      <w:pPr>
        <w:spacing w:line="240" w:lineRule="auto"/>
        <w:jc w:val="both"/>
      </w:pPr>
      <w:r>
        <w:rPr>
          <w:rFonts w:ascii="Times New Roman" w:hAnsi="Times New Roman" w:cs="Times New Roman"/>
          <w:sz w:val="24"/>
        </w:rPr>
        <w:t>Poslovanje HŽ INFRASTRUKTURE d.o.o. odvija se sukladno strateškim dokumentima za razvoj željeznice, a određeno je Zakonom o željeznici, Zakonom o trgovačkim društvima i Izjavi o osnivanju društva te drugim zakonskim i podzakonskim aktima vezanim uz djelatnost HŽ INFRASTRUKTURE d.o.o. </w:t>
      </w:r>
    </w:p>
    <w:p w:rsidR="00C36434" w:rsidRDefault="00F03B32" w:rsidP="0001358B">
      <w:pPr>
        <w:spacing w:line="276" w:lineRule="auto"/>
      </w:pPr>
      <w:r>
        <w:rPr>
          <w:rFonts w:ascii="Times New Roman" w:hAnsi="Times New Roman" w:cs="Times New Roman"/>
          <w:b/>
          <w:sz w:val="24"/>
          <w:u w:val="single"/>
        </w:rPr>
        <w:br/>
        <w:t>RAČUN PRIHODA I RASHODA</w:t>
      </w:r>
    </w:p>
    <w:p w:rsidR="00C36434" w:rsidRDefault="00F03B32">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1400" w:type="pct"/>
            <w:vAlign w:val="center"/>
          </w:tcPr>
          <w:p w:rsidR="00C36434" w:rsidRDefault="00F03B32">
            <w:pPr>
              <w:spacing w:after="0" w:line="240" w:lineRule="auto"/>
            </w:pPr>
            <w:r>
              <w:rPr>
                <w:rFonts w:ascii="Times New Roman" w:hAnsi="Times New Roman" w:cs="Times New Roman"/>
                <w:sz w:val="18"/>
              </w:rPr>
              <w:t>6 PRIHODI POSLOVANJA</w:t>
            </w:r>
          </w:p>
        </w:tc>
        <w:tc>
          <w:tcPr>
            <w:tcW w:w="800" w:type="pct"/>
            <w:vAlign w:val="bottom"/>
          </w:tcPr>
          <w:p w:rsidR="00C36434" w:rsidRDefault="00F03B32">
            <w:pPr>
              <w:spacing w:after="0" w:line="240" w:lineRule="auto"/>
              <w:jc w:val="right"/>
            </w:pPr>
            <w:r>
              <w:rPr>
                <w:rFonts w:ascii="Times New Roman" w:hAnsi="Times New Roman" w:cs="Times New Roman"/>
                <w:sz w:val="18"/>
              </w:rPr>
              <w:t>449.384.872</w:t>
            </w:r>
          </w:p>
        </w:tc>
        <w:tc>
          <w:tcPr>
            <w:tcW w:w="800" w:type="pct"/>
            <w:vAlign w:val="bottom"/>
          </w:tcPr>
          <w:p w:rsidR="00C36434" w:rsidRDefault="00F03B32">
            <w:pPr>
              <w:spacing w:after="0" w:line="240" w:lineRule="auto"/>
              <w:jc w:val="right"/>
            </w:pPr>
            <w:r>
              <w:rPr>
                <w:rFonts w:ascii="Times New Roman" w:hAnsi="Times New Roman" w:cs="Times New Roman"/>
                <w:sz w:val="18"/>
              </w:rPr>
              <w:t>555.561.768</w:t>
            </w:r>
          </w:p>
        </w:tc>
        <w:tc>
          <w:tcPr>
            <w:tcW w:w="800" w:type="pct"/>
            <w:vAlign w:val="bottom"/>
          </w:tcPr>
          <w:p w:rsidR="00C36434" w:rsidRDefault="00F03B32">
            <w:pPr>
              <w:spacing w:after="0" w:line="240" w:lineRule="auto"/>
              <w:jc w:val="right"/>
            </w:pPr>
            <w:r>
              <w:rPr>
                <w:rFonts w:ascii="Times New Roman" w:hAnsi="Times New Roman" w:cs="Times New Roman"/>
                <w:sz w:val="18"/>
              </w:rPr>
              <w:t>550.755.384</w:t>
            </w:r>
          </w:p>
        </w:tc>
        <w:tc>
          <w:tcPr>
            <w:tcW w:w="500" w:type="pct"/>
            <w:vAlign w:val="bottom"/>
          </w:tcPr>
          <w:p w:rsidR="00C36434" w:rsidRDefault="00F03B32">
            <w:pPr>
              <w:spacing w:after="0" w:line="240" w:lineRule="auto"/>
              <w:jc w:val="right"/>
            </w:pPr>
            <w:r>
              <w:rPr>
                <w:rFonts w:ascii="Times New Roman" w:hAnsi="Times New Roman" w:cs="Times New Roman"/>
                <w:sz w:val="18"/>
              </w:rPr>
              <w:t>122,6</w:t>
            </w:r>
          </w:p>
        </w:tc>
        <w:tc>
          <w:tcPr>
            <w:tcW w:w="500" w:type="pct"/>
            <w:vAlign w:val="bottom"/>
          </w:tcPr>
          <w:p w:rsidR="00C36434" w:rsidRDefault="00F03B32">
            <w:pPr>
              <w:spacing w:after="0" w:line="240" w:lineRule="auto"/>
              <w:jc w:val="right"/>
            </w:pPr>
            <w:r>
              <w:rPr>
                <w:rFonts w:ascii="Times New Roman" w:hAnsi="Times New Roman" w:cs="Times New Roman"/>
                <w:sz w:val="18"/>
              </w:rPr>
              <w:t>99,1</w:t>
            </w:r>
          </w:p>
        </w:tc>
      </w:tr>
      <w:tr w:rsidR="00C36434">
        <w:tc>
          <w:tcPr>
            <w:tcW w:w="1400" w:type="pct"/>
            <w:vAlign w:val="bottom"/>
          </w:tcPr>
          <w:p w:rsidR="00C36434" w:rsidRDefault="00F03B32">
            <w:pPr>
              <w:spacing w:after="0" w:line="240" w:lineRule="auto"/>
            </w:pPr>
            <w:r>
              <w:rPr>
                <w:rFonts w:ascii="Times New Roman" w:hAnsi="Times New Roman" w:cs="Times New Roman"/>
                <w:sz w:val="18"/>
              </w:rPr>
              <w:t>7 PRIHODI OD PRODAJE NEFINANCIJSKE IMOVINE</w:t>
            </w:r>
          </w:p>
        </w:tc>
        <w:tc>
          <w:tcPr>
            <w:tcW w:w="800" w:type="pct"/>
            <w:vAlign w:val="bottom"/>
          </w:tcPr>
          <w:p w:rsidR="00C36434" w:rsidRDefault="00F03B32">
            <w:pPr>
              <w:spacing w:after="0" w:line="240" w:lineRule="auto"/>
              <w:jc w:val="right"/>
            </w:pPr>
            <w:r>
              <w:rPr>
                <w:rFonts w:ascii="Times New Roman" w:hAnsi="Times New Roman" w:cs="Times New Roman"/>
                <w:sz w:val="18"/>
              </w:rPr>
              <w:t>0</w:t>
            </w:r>
          </w:p>
        </w:tc>
        <w:tc>
          <w:tcPr>
            <w:tcW w:w="800" w:type="pct"/>
            <w:vAlign w:val="bottom"/>
          </w:tcPr>
          <w:p w:rsidR="00C36434" w:rsidRDefault="00F03B32">
            <w:pPr>
              <w:spacing w:after="0" w:line="240" w:lineRule="auto"/>
              <w:jc w:val="right"/>
            </w:pPr>
            <w:r>
              <w:rPr>
                <w:rFonts w:ascii="Times New Roman" w:hAnsi="Times New Roman" w:cs="Times New Roman"/>
                <w:sz w:val="18"/>
              </w:rPr>
              <w:t>0</w:t>
            </w:r>
          </w:p>
        </w:tc>
        <w:tc>
          <w:tcPr>
            <w:tcW w:w="800" w:type="pct"/>
            <w:vAlign w:val="bottom"/>
          </w:tcPr>
          <w:p w:rsidR="00C36434" w:rsidRDefault="00F03B32">
            <w:pPr>
              <w:spacing w:after="0" w:line="240" w:lineRule="auto"/>
              <w:jc w:val="right"/>
            </w:pPr>
            <w:r>
              <w:rPr>
                <w:rFonts w:ascii="Times New Roman" w:hAnsi="Times New Roman" w:cs="Times New Roman"/>
                <w:sz w:val="18"/>
              </w:rPr>
              <w:t>0</w:t>
            </w:r>
          </w:p>
        </w:tc>
        <w:tc>
          <w:tcPr>
            <w:tcW w:w="500" w:type="pct"/>
            <w:vAlign w:val="bottom"/>
          </w:tcPr>
          <w:p w:rsidR="00C36434" w:rsidRDefault="00C36434">
            <w:pPr>
              <w:spacing w:after="0" w:line="240" w:lineRule="auto"/>
              <w:jc w:val="right"/>
            </w:pPr>
          </w:p>
        </w:tc>
        <w:tc>
          <w:tcPr>
            <w:tcW w:w="500" w:type="pct"/>
            <w:vAlign w:val="bottom"/>
          </w:tcPr>
          <w:p w:rsidR="00C36434" w:rsidRDefault="00C36434">
            <w:pPr>
              <w:spacing w:after="0" w:line="240" w:lineRule="auto"/>
              <w:jc w:val="right"/>
            </w:pPr>
          </w:p>
        </w:tc>
      </w:tr>
      <w:tr w:rsidR="00C36434">
        <w:tc>
          <w:tcPr>
            <w:tcW w:w="1400" w:type="pct"/>
            <w:vAlign w:val="bottom"/>
          </w:tcPr>
          <w:p w:rsidR="00C36434" w:rsidRDefault="00F03B32">
            <w:pPr>
              <w:spacing w:after="0" w:line="240" w:lineRule="auto"/>
            </w:pPr>
            <w:r>
              <w:rPr>
                <w:rFonts w:ascii="Times New Roman" w:hAnsi="Times New Roman" w:cs="Times New Roman"/>
                <w:b/>
                <w:sz w:val="18"/>
              </w:rPr>
              <w:t>UKUPNI PRIHODI</w:t>
            </w:r>
          </w:p>
        </w:tc>
        <w:tc>
          <w:tcPr>
            <w:tcW w:w="800" w:type="pct"/>
            <w:vAlign w:val="bottom"/>
          </w:tcPr>
          <w:p w:rsidR="00C36434" w:rsidRDefault="00F03B32">
            <w:pPr>
              <w:spacing w:after="0" w:line="240" w:lineRule="auto"/>
              <w:jc w:val="right"/>
            </w:pPr>
            <w:r>
              <w:rPr>
                <w:rFonts w:ascii="Times New Roman" w:hAnsi="Times New Roman" w:cs="Times New Roman"/>
                <w:b/>
                <w:sz w:val="18"/>
              </w:rPr>
              <w:t>449.384.872</w:t>
            </w:r>
          </w:p>
        </w:tc>
        <w:tc>
          <w:tcPr>
            <w:tcW w:w="800" w:type="pct"/>
            <w:vAlign w:val="bottom"/>
          </w:tcPr>
          <w:p w:rsidR="00C36434" w:rsidRDefault="00F03B32">
            <w:pPr>
              <w:spacing w:after="0" w:line="240" w:lineRule="auto"/>
              <w:jc w:val="right"/>
            </w:pPr>
            <w:r>
              <w:rPr>
                <w:rFonts w:ascii="Times New Roman" w:hAnsi="Times New Roman" w:cs="Times New Roman"/>
                <w:b/>
                <w:sz w:val="18"/>
              </w:rPr>
              <w:t>555.561.768</w:t>
            </w:r>
          </w:p>
        </w:tc>
        <w:tc>
          <w:tcPr>
            <w:tcW w:w="800" w:type="pct"/>
            <w:vAlign w:val="bottom"/>
          </w:tcPr>
          <w:p w:rsidR="00C36434" w:rsidRDefault="00F03B32">
            <w:pPr>
              <w:spacing w:after="0" w:line="240" w:lineRule="auto"/>
              <w:jc w:val="right"/>
            </w:pPr>
            <w:r>
              <w:rPr>
                <w:rFonts w:ascii="Times New Roman" w:hAnsi="Times New Roman" w:cs="Times New Roman"/>
                <w:b/>
                <w:sz w:val="18"/>
              </w:rPr>
              <w:t>550.755.384</w:t>
            </w:r>
          </w:p>
        </w:tc>
        <w:tc>
          <w:tcPr>
            <w:tcW w:w="500" w:type="pct"/>
            <w:vAlign w:val="bottom"/>
          </w:tcPr>
          <w:p w:rsidR="00C36434" w:rsidRDefault="00F03B32">
            <w:pPr>
              <w:spacing w:after="0" w:line="240" w:lineRule="auto"/>
              <w:jc w:val="right"/>
            </w:pPr>
            <w:r>
              <w:rPr>
                <w:rFonts w:ascii="Times New Roman" w:hAnsi="Times New Roman" w:cs="Times New Roman"/>
                <w:b/>
                <w:sz w:val="18"/>
              </w:rPr>
              <w:t>122,6</w:t>
            </w:r>
          </w:p>
        </w:tc>
        <w:tc>
          <w:tcPr>
            <w:tcW w:w="500" w:type="pct"/>
            <w:vAlign w:val="bottom"/>
          </w:tcPr>
          <w:p w:rsidR="00C36434" w:rsidRDefault="00F03B32">
            <w:pPr>
              <w:spacing w:after="0" w:line="240" w:lineRule="auto"/>
              <w:jc w:val="right"/>
            </w:pPr>
            <w:r>
              <w:rPr>
                <w:rFonts w:ascii="Times New Roman" w:hAnsi="Times New Roman" w:cs="Times New Roman"/>
                <w:b/>
                <w:sz w:val="18"/>
              </w:rPr>
              <w:t>99,1</w:t>
            </w:r>
          </w:p>
        </w:tc>
      </w:tr>
    </w:tbl>
    <w:p w:rsidR="00C36434" w:rsidRDefault="00F03B32">
      <w:pPr>
        <w:spacing w:line="240" w:lineRule="auto"/>
        <w:jc w:val="both"/>
      </w:pPr>
      <w:r>
        <w:rPr>
          <w:rFonts w:ascii="Times New Roman" w:hAnsi="Times New Roman" w:cs="Times New Roman"/>
          <w:sz w:val="24"/>
        </w:rPr>
        <w:lastRenderedPageBreak/>
        <w:t xml:space="preserve">U 2025. godini HŽ INFRASTRUKTURA d.o.o. ostvarila je ukupne prihode u iznosu od 550.755.384,49 EUR ili 99,13% planiranih, a u odnosu na prethodnu godinu ukupni prihodi veći su za 22,56%. </w:t>
      </w:r>
    </w:p>
    <w:p w:rsidR="00C36434" w:rsidRDefault="00F03B32">
      <w:pPr>
        <w:spacing w:line="240" w:lineRule="auto"/>
        <w:jc w:val="both"/>
      </w:pPr>
      <w:r>
        <w:rPr>
          <w:rFonts w:ascii="Times New Roman" w:hAnsi="Times New Roman" w:cs="Times New Roman"/>
          <w:sz w:val="24"/>
        </w:rPr>
        <w:t xml:space="preserve">Od ukupno ostvarenih prihoda, 92,55% odnosi se na prihode evidentirane u skupini </w:t>
      </w:r>
      <w:r>
        <w:rPr>
          <w:rFonts w:ascii="Times New Roman" w:hAnsi="Times New Roman" w:cs="Times New Roman"/>
          <w:i/>
          <w:sz w:val="24"/>
        </w:rPr>
        <w:t xml:space="preserve">Pomoći iz inozemstva i od subjekata unutar općeg proračuna </w:t>
      </w:r>
      <w:r>
        <w:rPr>
          <w:rFonts w:ascii="Times New Roman" w:hAnsi="Times New Roman" w:cs="Times New Roman"/>
          <w:sz w:val="24"/>
        </w:rPr>
        <w:t>i iznose 509.701.052,05 EUR. Ostvarenje te pozicije veće je za 24,05% u odnosu na prethodnu godinu, a manje za 0,84% u odnosu na plan. </w:t>
      </w:r>
    </w:p>
    <w:p w:rsidR="00C36434" w:rsidRDefault="00F03B32">
      <w:pPr>
        <w:spacing w:line="240" w:lineRule="auto"/>
        <w:jc w:val="both"/>
      </w:pPr>
      <w:r>
        <w:rPr>
          <w:rFonts w:ascii="Times New Roman" w:hAnsi="Times New Roman" w:cs="Times New Roman"/>
          <w:sz w:val="24"/>
        </w:rPr>
        <w:t>Najveći dio skupine</w:t>
      </w:r>
      <w:r>
        <w:rPr>
          <w:rFonts w:ascii="Times New Roman" w:hAnsi="Times New Roman" w:cs="Times New Roman"/>
          <w:i/>
          <w:sz w:val="24"/>
        </w:rPr>
        <w:t> </w:t>
      </w:r>
      <w:r>
        <w:rPr>
          <w:rFonts w:ascii="Times New Roman" w:hAnsi="Times New Roman" w:cs="Times New Roman"/>
          <w:sz w:val="24"/>
        </w:rPr>
        <w:t xml:space="preserve">odnosi se na poziciju </w:t>
      </w:r>
      <w:r>
        <w:rPr>
          <w:rFonts w:ascii="Times New Roman" w:hAnsi="Times New Roman" w:cs="Times New Roman"/>
          <w:i/>
          <w:sz w:val="24"/>
        </w:rPr>
        <w:t>Pomoći proračunu i izvanproračunskim korisnicima iz drugih proračuna</w:t>
      </w:r>
      <w:r>
        <w:rPr>
          <w:rFonts w:ascii="Times New Roman" w:hAnsi="Times New Roman" w:cs="Times New Roman"/>
          <w:sz w:val="24"/>
        </w:rPr>
        <w:t xml:space="preserve"> koja iznosi 489.171.009,15 EUR odnosno 95,97%. Predmetna sredstva najvećim dijelom odnose se na sredstva za financiranje  i sufinanciranje građenja, modernizacije i obnove željezničke infrastrukture </w:t>
      </w:r>
      <w:r>
        <w:rPr>
          <w:rFonts w:ascii="Times New Roman" w:hAnsi="Times New Roman" w:cs="Times New Roman"/>
          <w:color w:val="000000"/>
          <w:sz w:val="24"/>
        </w:rPr>
        <w:t>(239.328.129,00 EUR),</w:t>
      </w:r>
      <w:r w:rsidR="00C44681">
        <w:rPr>
          <w:rFonts w:ascii="Times New Roman" w:hAnsi="Times New Roman" w:cs="Times New Roman"/>
          <w:color w:val="000000"/>
          <w:sz w:val="24"/>
        </w:rPr>
        <w:t xml:space="preserve"> </w:t>
      </w:r>
      <w:r>
        <w:rPr>
          <w:rFonts w:ascii="Times New Roman" w:hAnsi="Times New Roman" w:cs="Times New Roman"/>
          <w:sz w:val="24"/>
        </w:rPr>
        <w:t>sredstva za upravljanje, organizaciju i regulaciju željezničkog prometa (117.181.759,00 EUR) i naknada u cijeni goriva (100.822.780,11 EUR) kojima se financiraju rashodi vezani za održavanje željezničke infrastrukture. Osim navedenog, predmetna grupa obuhvaća i potpore u provedbi projekata </w:t>
      </w:r>
      <w:r>
        <w:rPr>
          <w:rFonts w:ascii="Times New Roman" w:hAnsi="Times New Roman" w:cs="Times New Roman"/>
          <w:color w:val="000000"/>
          <w:sz w:val="24"/>
        </w:rPr>
        <w:t>Instrumenta za povezivanje Europe, Connecting Europe Facility – CEF</w:t>
      </w:r>
      <w:r>
        <w:rPr>
          <w:rFonts w:ascii="Times New Roman" w:hAnsi="Times New Roman" w:cs="Times New Roman"/>
          <w:sz w:val="24"/>
        </w:rPr>
        <w:t xml:space="preserve"> (18.690.990,37 EUR) i projekata Nacionalnog plana oporavka i otpornosti </w:t>
      </w:r>
      <w:r>
        <w:rPr>
          <w:rFonts w:ascii="Times New Roman" w:hAnsi="Times New Roman" w:cs="Times New Roman"/>
          <w:color w:val="000000"/>
          <w:sz w:val="24"/>
        </w:rPr>
        <w:t>–</w:t>
      </w:r>
      <w:r>
        <w:rPr>
          <w:rFonts w:ascii="Times New Roman" w:hAnsi="Times New Roman" w:cs="Times New Roman"/>
          <w:sz w:val="24"/>
        </w:rPr>
        <w:t xml:space="preserve"> NPOO (2.375.200,00 EUR), kao i potpore za pripremu projekata planiranih za sufinanciranje iz EU fondova (5.752.600,00 EUR) te potporu za dovršetak projekta financiranog iz zajma Međunarodne banke za obnovu i razvoj </w:t>
      </w:r>
      <w:r>
        <w:rPr>
          <w:rFonts w:ascii="Times New Roman" w:hAnsi="Times New Roman" w:cs="Times New Roman"/>
          <w:color w:val="000000"/>
          <w:sz w:val="24"/>
        </w:rPr>
        <w:t>–</w:t>
      </w:r>
      <w:r>
        <w:rPr>
          <w:rFonts w:ascii="Times New Roman" w:hAnsi="Times New Roman" w:cs="Times New Roman"/>
          <w:sz w:val="24"/>
        </w:rPr>
        <w:t xml:space="preserve"> IBRD (994.204,00 EUR) i drugo.</w:t>
      </w:r>
    </w:p>
    <w:p w:rsidR="00C36434" w:rsidRDefault="00F03B32">
      <w:pPr>
        <w:spacing w:line="240" w:lineRule="auto"/>
        <w:jc w:val="both"/>
      </w:pPr>
      <w:r>
        <w:rPr>
          <w:rFonts w:ascii="Times New Roman" w:hAnsi="Times New Roman" w:cs="Times New Roman"/>
          <w:sz w:val="24"/>
        </w:rPr>
        <w:t xml:space="preserve">U 2025. godini pozicija </w:t>
      </w:r>
      <w:r>
        <w:rPr>
          <w:rFonts w:ascii="Times New Roman" w:hAnsi="Times New Roman" w:cs="Times New Roman"/>
          <w:i/>
          <w:sz w:val="24"/>
        </w:rPr>
        <w:t>Pomoći temeljem prijenosa EU sredstava</w:t>
      </w:r>
      <w:r w:rsidR="009C731C">
        <w:rPr>
          <w:rFonts w:ascii="Times New Roman" w:hAnsi="Times New Roman" w:cs="Times New Roman"/>
          <w:i/>
          <w:sz w:val="24"/>
        </w:rPr>
        <w:t xml:space="preserve"> </w:t>
      </w:r>
      <w:r>
        <w:rPr>
          <w:rFonts w:ascii="Times New Roman" w:hAnsi="Times New Roman" w:cs="Times New Roman"/>
          <w:sz w:val="24"/>
        </w:rPr>
        <w:t>iznosi 20.417.944,58 EUR, a rezultat je povlačenja sredstava iz EU fondova i najvećim dijelom se odnosi na Program Konkurentnost i kohezija 2021.-2027. te Promet i komunikacije NPOO. Povlačenje sredstava iz EU fondova po programima i projektima je kako slijedi:</w:t>
      </w:r>
    </w:p>
    <w:p w:rsidR="00C36434" w:rsidRDefault="00F03B32" w:rsidP="00DE47BC">
      <w:pPr>
        <w:pStyle w:val="Odlomakpopisa"/>
        <w:numPr>
          <w:ilvl w:val="0"/>
          <w:numId w:val="4"/>
        </w:numPr>
        <w:spacing w:line="276" w:lineRule="auto"/>
        <w:jc w:val="both"/>
      </w:pPr>
      <w:r w:rsidRPr="009C731C">
        <w:rPr>
          <w:rFonts w:ascii="Times New Roman" w:hAnsi="Times New Roman" w:cs="Times New Roman"/>
          <w:sz w:val="24"/>
        </w:rPr>
        <w:t>Program Konkurentnost i kohezija 2021.-2027. u ukupnom iznosu 13.988.597,44 EUR za projekt:</w:t>
      </w:r>
    </w:p>
    <w:p w:rsidR="00C36434" w:rsidRDefault="00F03B32" w:rsidP="00DE47BC">
      <w:pPr>
        <w:pStyle w:val="Odlomakpopisa"/>
        <w:numPr>
          <w:ilvl w:val="0"/>
          <w:numId w:val="5"/>
        </w:numPr>
        <w:spacing w:line="276" w:lineRule="auto"/>
        <w:jc w:val="both"/>
      </w:pPr>
      <w:r w:rsidRPr="009C731C">
        <w:rPr>
          <w:rFonts w:ascii="Times New Roman" w:hAnsi="Times New Roman" w:cs="Times New Roman"/>
          <w:sz w:val="24"/>
        </w:rPr>
        <w:t>Rekonstrukcija postojećeg i izgradnja drugog kolosijeka na dionici Hrvatski Leskovac - Karlovac  na željezničkoj pruzi M202 Zagreb GK - Rijeka 2. faza iznosi 10.339.190,84 EUR</w:t>
      </w:r>
    </w:p>
    <w:p w:rsidR="00C36434" w:rsidRDefault="00F03B32" w:rsidP="00DE47BC">
      <w:pPr>
        <w:pStyle w:val="Odlomakpopisa"/>
        <w:numPr>
          <w:ilvl w:val="0"/>
          <w:numId w:val="5"/>
        </w:numPr>
        <w:spacing w:line="276" w:lineRule="auto"/>
        <w:jc w:val="both"/>
      </w:pPr>
      <w:r w:rsidRPr="009C731C">
        <w:rPr>
          <w:rFonts w:ascii="Times New Roman" w:hAnsi="Times New Roman" w:cs="Times New Roman"/>
          <w:sz w:val="24"/>
        </w:rPr>
        <w:t>Izrada projektne dokumentacije za modernizaciju željezničke pruge M202 Zagreb GK - Rijeka, dionica Karlovac - Oštarije - 2. faza iznosi 14.336,77 EUR</w:t>
      </w:r>
    </w:p>
    <w:p w:rsidR="00C36434" w:rsidRPr="003233B6" w:rsidRDefault="00F03B32" w:rsidP="00DE47BC">
      <w:pPr>
        <w:pStyle w:val="Odlomakpopisa"/>
        <w:numPr>
          <w:ilvl w:val="0"/>
          <w:numId w:val="5"/>
        </w:numPr>
        <w:spacing w:line="276" w:lineRule="auto"/>
        <w:jc w:val="both"/>
      </w:pPr>
      <w:r w:rsidRPr="009C731C">
        <w:rPr>
          <w:rFonts w:ascii="Times New Roman" w:hAnsi="Times New Roman" w:cs="Times New Roman"/>
          <w:sz w:val="24"/>
        </w:rPr>
        <w:t>Osiguranje i modernizacija željezničko-cestovnih prijelaza fazirano iznosi 3.635.069,83 EUR</w:t>
      </w:r>
    </w:p>
    <w:p w:rsidR="003233B6" w:rsidRDefault="003233B6" w:rsidP="00DE47BC">
      <w:pPr>
        <w:pStyle w:val="Odlomakpopisa"/>
        <w:numPr>
          <w:ilvl w:val="0"/>
          <w:numId w:val="5"/>
        </w:numPr>
        <w:spacing w:line="276" w:lineRule="auto"/>
        <w:jc w:val="both"/>
      </w:pPr>
      <w:r>
        <w:rPr>
          <w:rFonts w:ascii="Times New Roman" w:hAnsi="Times New Roman" w:cs="Times New Roman"/>
          <w:sz w:val="24"/>
        </w:rPr>
        <w:t>Nadogradnja i elektrifikacija postojeće željezničke pruge od značaja za međunarodni promet M601 Vinkovci – Vukovar (Odluka o povratu br. 14, KLASA 910-01/18-01/102, URBROJ: 530-09-1-1-1-25-76) u iznosu od -123,30 €</w:t>
      </w:r>
    </w:p>
    <w:p w:rsidR="00C36434" w:rsidRDefault="00F03B32" w:rsidP="00DE47BC">
      <w:pPr>
        <w:pStyle w:val="Odlomakpopisa"/>
        <w:numPr>
          <w:ilvl w:val="0"/>
          <w:numId w:val="4"/>
        </w:numPr>
        <w:spacing w:line="276" w:lineRule="auto"/>
        <w:jc w:val="both"/>
      </w:pPr>
      <w:r w:rsidRPr="009C731C">
        <w:rPr>
          <w:rFonts w:ascii="Times New Roman" w:hAnsi="Times New Roman" w:cs="Times New Roman"/>
          <w:sz w:val="24"/>
        </w:rPr>
        <w:t>Nacionalnog plana oporavka i otpornosti u ukupnom iznosu od 6.429.470,44 EUR za projekte:</w:t>
      </w:r>
    </w:p>
    <w:p w:rsidR="00C36434" w:rsidRPr="009C731C" w:rsidRDefault="00F03B32" w:rsidP="00DE47BC">
      <w:pPr>
        <w:pStyle w:val="Odlomakpopisa"/>
        <w:numPr>
          <w:ilvl w:val="0"/>
          <w:numId w:val="5"/>
        </w:numPr>
        <w:spacing w:line="276" w:lineRule="auto"/>
        <w:jc w:val="both"/>
        <w:rPr>
          <w:rFonts w:ascii="Times New Roman" w:hAnsi="Times New Roman" w:cs="Times New Roman"/>
          <w:sz w:val="24"/>
        </w:rPr>
      </w:pPr>
      <w:r w:rsidRPr="009C731C">
        <w:rPr>
          <w:rFonts w:ascii="Times New Roman" w:hAnsi="Times New Roman" w:cs="Times New Roman"/>
          <w:sz w:val="24"/>
        </w:rPr>
        <w:t>Modernizacija dionice Zagreb Kustošija-Zagreb ZK -Zagreb GK iznosi 1.682.255,63 EUR</w:t>
      </w:r>
    </w:p>
    <w:p w:rsidR="00C36434" w:rsidRPr="009C731C" w:rsidRDefault="00F03B32" w:rsidP="00DE47BC">
      <w:pPr>
        <w:pStyle w:val="Odlomakpopisa"/>
        <w:numPr>
          <w:ilvl w:val="0"/>
          <w:numId w:val="5"/>
        </w:numPr>
        <w:spacing w:line="276" w:lineRule="auto"/>
        <w:jc w:val="both"/>
        <w:rPr>
          <w:rFonts w:ascii="Times New Roman" w:hAnsi="Times New Roman" w:cs="Times New Roman"/>
          <w:sz w:val="24"/>
        </w:rPr>
      </w:pPr>
      <w:r w:rsidRPr="009C731C">
        <w:rPr>
          <w:rFonts w:ascii="Times New Roman" w:hAnsi="Times New Roman" w:cs="Times New Roman"/>
          <w:sz w:val="24"/>
        </w:rPr>
        <w:t>Uklanjanje "uskih grla" na željezničkoj infrastrukturi iznosi 4.747.214,81 EUR</w:t>
      </w:r>
    </w:p>
    <w:p w:rsidR="00C36434" w:rsidRDefault="00F03B32">
      <w:pPr>
        <w:spacing w:line="240" w:lineRule="auto"/>
        <w:jc w:val="both"/>
      </w:pPr>
      <w:r>
        <w:rPr>
          <w:rFonts w:ascii="Times New Roman" w:hAnsi="Times New Roman" w:cs="Times New Roman"/>
          <w:color w:val="000000"/>
          <w:sz w:val="24"/>
        </w:rPr>
        <w:t>U 2025. godini p</w:t>
      </w:r>
      <w:r>
        <w:rPr>
          <w:rFonts w:ascii="Times New Roman" w:hAnsi="Times New Roman" w:cs="Times New Roman"/>
          <w:sz w:val="24"/>
        </w:rPr>
        <w:t xml:space="preserve">ozicija </w:t>
      </w:r>
      <w:r>
        <w:rPr>
          <w:rFonts w:ascii="Times New Roman" w:hAnsi="Times New Roman" w:cs="Times New Roman"/>
          <w:i/>
          <w:sz w:val="24"/>
        </w:rPr>
        <w:t>Pomoći od međunarodnih organizacija te institucija i tijela EU </w:t>
      </w:r>
      <w:r>
        <w:rPr>
          <w:rFonts w:ascii="Times New Roman" w:hAnsi="Times New Roman" w:cs="Times New Roman"/>
          <w:sz w:val="24"/>
        </w:rPr>
        <w:t> ostvarena je u iznosu 112.098,32 EUR i </w:t>
      </w:r>
      <w:r>
        <w:rPr>
          <w:rFonts w:ascii="Times New Roman" w:hAnsi="Times New Roman" w:cs="Times New Roman"/>
          <w:color w:val="000000"/>
          <w:sz w:val="24"/>
        </w:rPr>
        <w:t>manja je za 99,70% odnosno za 37.315.938,63 EUR od ostvarenja prethodne godine, </w:t>
      </w:r>
      <w:r>
        <w:rPr>
          <w:rFonts w:ascii="Times New Roman" w:hAnsi="Times New Roman" w:cs="Times New Roman"/>
          <w:sz w:val="24"/>
        </w:rPr>
        <w:t xml:space="preserve">a obuhvaća kapitalne pomoći za provedbu CEF projekata. Ostvareni iznos odnosi se na projekt </w:t>
      </w:r>
      <w:r>
        <w:rPr>
          <w:rFonts w:ascii="Times New Roman" w:hAnsi="Times New Roman" w:cs="Times New Roman"/>
          <w:color w:val="000000"/>
          <w:sz w:val="24"/>
        </w:rPr>
        <w:t xml:space="preserve">Primjena telematskih aplikacija za europsku </w:t>
      </w:r>
      <w:r w:rsidR="00B6056A">
        <w:rPr>
          <w:rFonts w:ascii="Times New Roman" w:hAnsi="Times New Roman" w:cs="Times New Roman"/>
          <w:color w:val="000000"/>
          <w:sz w:val="24"/>
        </w:rPr>
        <w:t>interoperabilnosti</w:t>
      </w:r>
      <w:r>
        <w:rPr>
          <w:rFonts w:ascii="Times New Roman" w:hAnsi="Times New Roman" w:cs="Times New Roman"/>
          <w:color w:val="000000"/>
          <w:sz w:val="24"/>
        </w:rPr>
        <w:t xml:space="preserve">, a smanjenje u odnosu na prethodnu godinu posljedica je završetka </w:t>
      </w:r>
      <w:r>
        <w:rPr>
          <w:rFonts w:ascii="Times New Roman" w:hAnsi="Times New Roman" w:cs="Times New Roman"/>
          <w:color w:val="000000"/>
          <w:sz w:val="24"/>
        </w:rPr>
        <w:lastRenderedPageBreak/>
        <w:t>sufinanciranja projekata iz CEF-a. </w:t>
      </w:r>
      <w:r>
        <w:rPr>
          <w:rFonts w:ascii="Times New Roman" w:hAnsi="Times New Roman" w:cs="Times New Roman"/>
          <w:sz w:val="24"/>
        </w:rPr>
        <w:t>U odnosu na plan za 2025. godinu ostvareno je 31,14% planiranih sredstava.</w:t>
      </w:r>
    </w:p>
    <w:p w:rsidR="00C36434" w:rsidRDefault="00F03B32">
      <w:pPr>
        <w:spacing w:line="240" w:lineRule="auto"/>
        <w:jc w:val="both"/>
      </w:pPr>
      <w:r>
        <w:rPr>
          <w:rFonts w:ascii="Times New Roman" w:hAnsi="Times New Roman" w:cs="Times New Roman"/>
          <w:i/>
          <w:sz w:val="24"/>
        </w:rPr>
        <w:t>Prihodi od imovine</w:t>
      </w:r>
      <w:r>
        <w:rPr>
          <w:rFonts w:ascii="Times New Roman" w:hAnsi="Times New Roman" w:cs="Times New Roman"/>
          <w:sz w:val="24"/>
        </w:rPr>
        <w:t xml:space="preserve"> iznose 5.185.313,51 EUR, a najvećim dijelom odnose se na ostvarene prihode od zakupa i iznajmljivanja imovine (4.999.649,97 EUR) i prihoda od zateznih kamata (167.816,14 EUR). U odnosu na prethodnu godinu ukupni prihodi od imovine veći su za 1,12%. Prihodi od imovine, u odnosu na Plan za 2025. godinu veći su za 3,09%. </w:t>
      </w:r>
    </w:p>
    <w:p w:rsidR="00C36434" w:rsidRDefault="00CB2E2F">
      <w:pPr>
        <w:spacing w:line="240" w:lineRule="auto"/>
        <w:jc w:val="both"/>
      </w:pPr>
      <w:r>
        <w:rPr>
          <w:rFonts w:ascii="Times New Roman" w:hAnsi="Times New Roman" w:cs="Times New Roman"/>
          <w:i/>
          <w:sz w:val="24"/>
        </w:rPr>
        <w:t>Prihodi od prodaje proizvoda i</w:t>
      </w:r>
      <w:r w:rsidR="00F03B32">
        <w:rPr>
          <w:rFonts w:ascii="Times New Roman" w:hAnsi="Times New Roman" w:cs="Times New Roman"/>
          <w:i/>
          <w:sz w:val="24"/>
        </w:rPr>
        <w:t xml:space="preserve"> robe </w:t>
      </w:r>
      <w:r>
        <w:rPr>
          <w:rFonts w:ascii="Times New Roman" w:hAnsi="Times New Roman" w:cs="Times New Roman"/>
          <w:i/>
          <w:sz w:val="24"/>
        </w:rPr>
        <w:t>te pruženih</w:t>
      </w:r>
      <w:r w:rsidR="00F03B32">
        <w:rPr>
          <w:rFonts w:ascii="Times New Roman" w:hAnsi="Times New Roman" w:cs="Times New Roman"/>
          <w:i/>
          <w:sz w:val="24"/>
        </w:rPr>
        <w:t xml:space="preserve"> usluga</w:t>
      </w:r>
      <w:r w:rsidR="00F03B32">
        <w:rPr>
          <w:rFonts w:ascii="Times New Roman" w:hAnsi="Times New Roman" w:cs="Times New Roman"/>
          <w:sz w:val="24"/>
        </w:rPr>
        <w:t xml:space="preserve"> iznose 35.869.018,93 EUR i u odnosu na isto razdoblje prethodne godine veći su za 7,45% odnosno ostvareni su na razini 98,27% plana za 2025. godinu. Najvećim dijelom ostvareni su od pružanja željezničkih usluga (34.057.678,98 EUR). </w:t>
      </w:r>
    </w:p>
    <w:p w:rsidR="00C36434" w:rsidRDefault="00F03B32">
      <w:pPr>
        <w:spacing w:line="360" w:lineRule="auto"/>
      </w:pPr>
      <w:r>
        <w:rPr>
          <w:rFonts w:ascii="Times New Roman" w:hAnsi="Times New Roman" w:cs="Times New Roman"/>
          <w:b/>
          <w:sz w:val="24"/>
          <w:u w:val="single"/>
        </w:rPr>
        <w:br/>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1400" w:type="pct"/>
            <w:vAlign w:val="center"/>
          </w:tcPr>
          <w:p w:rsidR="00C36434" w:rsidRDefault="00F03B32">
            <w:pPr>
              <w:spacing w:after="0" w:line="240" w:lineRule="auto"/>
            </w:pPr>
            <w:r>
              <w:rPr>
                <w:rFonts w:ascii="Times New Roman" w:hAnsi="Times New Roman" w:cs="Times New Roman"/>
                <w:sz w:val="18"/>
              </w:rPr>
              <w:t>3 RASHODI POSLOVANJA</w:t>
            </w:r>
          </w:p>
        </w:tc>
        <w:tc>
          <w:tcPr>
            <w:tcW w:w="800" w:type="pct"/>
            <w:vAlign w:val="bottom"/>
          </w:tcPr>
          <w:p w:rsidR="00C36434" w:rsidRDefault="00F03B32">
            <w:pPr>
              <w:spacing w:after="0" w:line="240" w:lineRule="auto"/>
              <w:jc w:val="right"/>
            </w:pPr>
            <w:r>
              <w:rPr>
                <w:rFonts w:ascii="Times New Roman" w:hAnsi="Times New Roman" w:cs="Times New Roman"/>
                <w:sz w:val="18"/>
              </w:rPr>
              <w:t>203.276.867</w:t>
            </w:r>
          </w:p>
        </w:tc>
        <w:tc>
          <w:tcPr>
            <w:tcW w:w="800" w:type="pct"/>
            <w:vAlign w:val="bottom"/>
          </w:tcPr>
          <w:p w:rsidR="00C36434" w:rsidRDefault="00F03B32">
            <w:pPr>
              <w:spacing w:after="0" w:line="240" w:lineRule="auto"/>
              <w:jc w:val="right"/>
            </w:pPr>
            <w:r>
              <w:rPr>
                <w:rFonts w:ascii="Times New Roman" w:hAnsi="Times New Roman" w:cs="Times New Roman"/>
                <w:sz w:val="18"/>
              </w:rPr>
              <w:t>222.166.000</w:t>
            </w:r>
          </w:p>
        </w:tc>
        <w:tc>
          <w:tcPr>
            <w:tcW w:w="800" w:type="pct"/>
            <w:vAlign w:val="bottom"/>
          </w:tcPr>
          <w:p w:rsidR="00C36434" w:rsidRDefault="00F03B32">
            <w:pPr>
              <w:spacing w:after="0" w:line="240" w:lineRule="auto"/>
              <w:jc w:val="right"/>
            </w:pPr>
            <w:r>
              <w:rPr>
                <w:rFonts w:ascii="Times New Roman" w:hAnsi="Times New Roman" w:cs="Times New Roman"/>
                <w:sz w:val="18"/>
              </w:rPr>
              <w:t>234.619.588</w:t>
            </w:r>
          </w:p>
        </w:tc>
        <w:tc>
          <w:tcPr>
            <w:tcW w:w="500" w:type="pct"/>
            <w:vAlign w:val="bottom"/>
          </w:tcPr>
          <w:p w:rsidR="00C36434" w:rsidRDefault="00F03B32">
            <w:pPr>
              <w:spacing w:after="0" w:line="240" w:lineRule="auto"/>
              <w:jc w:val="right"/>
            </w:pPr>
            <w:r>
              <w:rPr>
                <w:rFonts w:ascii="Times New Roman" w:hAnsi="Times New Roman" w:cs="Times New Roman"/>
                <w:sz w:val="18"/>
              </w:rPr>
              <w:t>115,4</w:t>
            </w:r>
          </w:p>
        </w:tc>
        <w:tc>
          <w:tcPr>
            <w:tcW w:w="500" w:type="pct"/>
            <w:vAlign w:val="bottom"/>
          </w:tcPr>
          <w:p w:rsidR="00C36434" w:rsidRDefault="00F03B32">
            <w:pPr>
              <w:spacing w:after="0" w:line="240" w:lineRule="auto"/>
              <w:jc w:val="right"/>
            </w:pPr>
            <w:r>
              <w:rPr>
                <w:rFonts w:ascii="Times New Roman" w:hAnsi="Times New Roman" w:cs="Times New Roman"/>
                <w:sz w:val="18"/>
              </w:rPr>
              <w:t>105,6</w:t>
            </w:r>
          </w:p>
        </w:tc>
      </w:tr>
      <w:tr w:rsidR="00C36434">
        <w:tc>
          <w:tcPr>
            <w:tcW w:w="1400" w:type="pct"/>
            <w:vAlign w:val="bottom"/>
          </w:tcPr>
          <w:p w:rsidR="00C36434" w:rsidRDefault="00F03B32">
            <w:pPr>
              <w:spacing w:after="0" w:line="240" w:lineRule="auto"/>
            </w:pPr>
            <w:r>
              <w:rPr>
                <w:rFonts w:ascii="Times New Roman" w:hAnsi="Times New Roman" w:cs="Times New Roman"/>
                <w:sz w:val="18"/>
              </w:rPr>
              <w:t>4 RASHODI ZA NABAVU NEFINANCIJSKE IMOVINE</w:t>
            </w:r>
          </w:p>
        </w:tc>
        <w:tc>
          <w:tcPr>
            <w:tcW w:w="800" w:type="pct"/>
            <w:vAlign w:val="bottom"/>
          </w:tcPr>
          <w:p w:rsidR="00C36434" w:rsidRDefault="00F03B32">
            <w:pPr>
              <w:spacing w:after="0" w:line="240" w:lineRule="auto"/>
              <w:jc w:val="right"/>
            </w:pPr>
            <w:r>
              <w:rPr>
                <w:rFonts w:ascii="Times New Roman" w:hAnsi="Times New Roman" w:cs="Times New Roman"/>
                <w:sz w:val="18"/>
              </w:rPr>
              <w:t>229.249.879</w:t>
            </w:r>
          </w:p>
        </w:tc>
        <w:tc>
          <w:tcPr>
            <w:tcW w:w="800" w:type="pct"/>
            <w:vAlign w:val="bottom"/>
          </w:tcPr>
          <w:p w:rsidR="00C36434" w:rsidRDefault="00F03B32">
            <w:pPr>
              <w:spacing w:after="0" w:line="240" w:lineRule="auto"/>
              <w:jc w:val="right"/>
            </w:pPr>
            <w:r>
              <w:rPr>
                <w:rFonts w:ascii="Times New Roman" w:hAnsi="Times New Roman" w:cs="Times New Roman"/>
                <w:sz w:val="18"/>
              </w:rPr>
              <w:t>323.741.000</w:t>
            </w:r>
          </w:p>
        </w:tc>
        <w:tc>
          <w:tcPr>
            <w:tcW w:w="800" w:type="pct"/>
            <w:vAlign w:val="bottom"/>
          </w:tcPr>
          <w:p w:rsidR="00C36434" w:rsidRDefault="00F03B32">
            <w:pPr>
              <w:spacing w:after="0" w:line="240" w:lineRule="auto"/>
              <w:jc w:val="right"/>
            </w:pPr>
            <w:r>
              <w:rPr>
                <w:rFonts w:ascii="Times New Roman" w:hAnsi="Times New Roman" w:cs="Times New Roman"/>
                <w:sz w:val="18"/>
              </w:rPr>
              <w:t>296.359.781</w:t>
            </w:r>
          </w:p>
        </w:tc>
        <w:tc>
          <w:tcPr>
            <w:tcW w:w="500" w:type="pct"/>
            <w:vAlign w:val="bottom"/>
          </w:tcPr>
          <w:p w:rsidR="00C36434" w:rsidRDefault="00F03B32">
            <w:pPr>
              <w:spacing w:after="0" w:line="240" w:lineRule="auto"/>
              <w:jc w:val="right"/>
            </w:pPr>
            <w:r>
              <w:rPr>
                <w:rFonts w:ascii="Times New Roman" w:hAnsi="Times New Roman" w:cs="Times New Roman"/>
                <w:sz w:val="18"/>
              </w:rPr>
              <w:t>129,3</w:t>
            </w:r>
          </w:p>
        </w:tc>
        <w:tc>
          <w:tcPr>
            <w:tcW w:w="500" w:type="pct"/>
            <w:vAlign w:val="bottom"/>
          </w:tcPr>
          <w:p w:rsidR="00C36434" w:rsidRDefault="00F03B32">
            <w:pPr>
              <w:spacing w:after="0" w:line="240" w:lineRule="auto"/>
              <w:jc w:val="right"/>
            </w:pPr>
            <w:r>
              <w:rPr>
                <w:rFonts w:ascii="Times New Roman" w:hAnsi="Times New Roman" w:cs="Times New Roman"/>
                <w:sz w:val="18"/>
              </w:rPr>
              <w:t>91,5</w:t>
            </w:r>
          </w:p>
        </w:tc>
      </w:tr>
      <w:tr w:rsidR="00C36434">
        <w:tc>
          <w:tcPr>
            <w:tcW w:w="1400" w:type="pct"/>
            <w:vAlign w:val="bottom"/>
          </w:tcPr>
          <w:p w:rsidR="00C36434" w:rsidRDefault="00F03B32">
            <w:pPr>
              <w:spacing w:after="0" w:line="240" w:lineRule="auto"/>
            </w:pPr>
            <w:r>
              <w:rPr>
                <w:rFonts w:ascii="Times New Roman" w:hAnsi="Times New Roman" w:cs="Times New Roman"/>
                <w:b/>
                <w:sz w:val="18"/>
              </w:rPr>
              <w:t>UKUPNI RASHODI</w:t>
            </w:r>
          </w:p>
        </w:tc>
        <w:tc>
          <w:tcPr>
            <w:tcW w:w="800" w:type="pct"/>
            <w:vAlign w:val="bottom"/>
          </w:tcPr>
          <w:p w:rsidR="00C36434" w:rsidRDefault="00F03B32">
            <w:pPr>
              <w:spacing w:after="0" w:line="240" w:lineRule="auto"/>
              <w:jc w:val="right"/>
            </w:pPr>
            <w:r>
              <w:rPr>
                <w:rFonts w:ascii="Times New Roman" w:hAnsi="Times New Roman" w:cs="Times New Roman"/>
                <w:b/>
                <w:sz w:val="18"/>
              </w:rPr>
              <w:t>432.526.746</w:t>
            </w:r>
          </w:p>
        </w:tc>
        <w:tc>
          <w:tcPr>
            <w:tcW w:w="800" w:type="pct"/>
            <w:vAlign w:val="bottom"/>
          </w:tcPr>
          <w:p w:rsidR="00C36434" w:rsidRDefault="00F03B32">
            <w:pPr>
              <w:spacing w:after="0" w:line="240" w:lineRule="auto"/>
              <w:jc w:val="right"/>
            </w:pPr>
            <w:r>
              <w:rPr>
                <w:rFonts w:ascii="Times New Roman" w:hAnsi="Times New Roman" w:cs="Times New Roman"/>
                <w:b/>
                <w:sz w:val="18"/>
              </w:rPr>
              <w:t>545.907.000</w:t>
            </w:r>
          </w:p>
        </w:tc>
        <w:tc>
          <w:tcPr>
            <w:tcW w:w="800" w:type="pct"/>
            <w:vAlign w:val="bottom"/>
          </w:tcPr>
          <w:p w:rsidR="00C36434" w:rsidRDefault="00F03B32">
            <w:pPr>
              <w:spacing w:after="0" w:line="240" w:lineRule="auto"/>
              <w:jc w:val="right"/>
            </w:pPr>
            <w:r>
              <w:rPr>
                <w:rFonts w:ascii="Times New Roman" w:hAnsi="Times New Roman" w:cs="Times New Roman"/>
                <w:b/>
                <w:sz w:val="18"/>
              </w:rPr>
              <w:t>530.979.368</w:t>
            </w:r>
          </w:p>
        </w:tc>
        <w:tc>
          <w:tcPr>
            <w:tcW w:w="500" w:type="pct"/>
            <w:vAlign w:val="bottom"/>
          </w:tcPr>
          <w:p w:rsidR="00C36434" w:rsidRDefault="00F03B32">
            <w:pPr>
              <w:spacing w:after="0" w:line="240" w:lineRule="auto"/>
              <w:jc w:val="right"/>
            </w:pPr>
            <w:r>
              <w:rPr>
                <w:rFonts w:ascii="Times New Roman" w:hAnsi="Times New Roman" w:cs="Times New Roman"/>
                <w:b/>
                <w:sz w:val="18"/>
              </w:rPr>
              <w:t>122,8</w:t>
            </w:r>
          </w:p>
        </w:tc>
        <w:tc>
          <w:tcPr>
            <w:tcW w:w="500" w:type="pct"/>
            <w:vAlign w:val="bottom"/>
          </w:tcPr>
          <w:p w:rsidR="00C36434" w:rsidRDefault="00F03B32">
            <w:pPr>
              <w:spacing w:after="0" w:line="240" w:lineRule="auto"/>
              <w:jc w:val="right"/>
            </w:pPr>
            <w:r>
              <w:rPr>
                <w:rFonts w:ascii="Times New Roman" w:hAnsi="Times New Roman" w:cs="Times New Roman"/>
                <w:b/>
                <w:sz w:val="18"/>
              </w:rPr>
              <w:t>97,3</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Ukupni rashodi u 2025. godin</w:t>
      </w:r>
      <w:r w:rsidR="00C44681">
        <w:rPr>
          <w:rFonts w:ascii="Times New Roman" w:hAnsi="Times New Roman" w:cs="Times New Roman"/>
          <w:sz w:val="24"/>
        </w:rPr>
        <w:t>i</w:t>
      </w:r>
      <w:r>
        <w:rPr>
          <w:rFonts w:ascii="Times New Roman" w:hAnsi="Times New Roman" w:cs="Times New Roman"/>
          <w:sz w:val="24"/>
        </w:rPr>
        <w:t xml:space="preserve"> iznose 530.979.368,47 EUR što predstavlja izvršenje od 97,27% planiranih sredstava. U odnosu na 2024. godinu veći su za 22,76%. Od ukupnih rashoda, 44,19% odnosi se na rashode poslovanja odnosno 55,81% na rashode za nabavu nefinancijske imovine.</w:t>
      </w:r>
    </w:p>
    <w:p w:rsidR="00C36434" w:rsidRDefault="00F03B32">
      <w:pPr>
        <w:spacing w:line="240" w:lineRule="auto"/>
        <w:jc w:val="both"/>
      </w:pPr>
      <w:r>
        <w:rPr>
          <w:rFonts w:ascii="Times New Roman" w:hAnsi="Times New Roman" w:cs="Times New Roman"/>
          <w:sz w:val="24"/>
        </w:rPr>
        <w:t>RASHODI POSLOVANJA</w:t>
      </w:r>
    </w:p>
    <w:p w:rsidR="00C36434" w:rsidRDefault="00F03B32">
      <w:pPr>
        <w:spacing w:line="240" w:lineRule="auto"/>
        <w:jc w:val="both"/>
      </w:pPr>
      <w:r>
        <w:rPr>
          <w:rFonts w:ascii="Times New Roman" w:hAnsi="Times New Roman" w:cs="Times New Roman"/>
          <w:sz w:val="24"/>
        </w:rPr>
        <w:t>Ukupni</w:t>
      </w:r>
      <w:r w:rsidR="00955E10">
        <w:rPr>
          <w:rFonts w:ascii="Times New Roman" w:hAnsi="Times New Roman" w:cs="Times New Roman"/>
          <w:sz w:val="24"/>
        </w:rPr>
        <w:t xml:space="preserve"> </w:t>
      </w:r>
      <w:r>
        <w:rPr>
          <w:rFonts w:ascii="Times New Roman" w:hAnsi="Times New Roman" w:cs="Times New Roman"/>
          <w:i/>
          <w:sz w:val="24"/>
        </w:rPr>
        <w:t xml:space="preserve">Rashodi poslovanja </w:t>
      </w:r>
      <w:r>
        <w:rPr>
          <w:rFonts w:ascii="Times New Roman" w:hAnsi="Times New Roman" w:cs="Times New Roman"/>
          <w:sz w:val="24"/>
        </w:rPr>
        <w:t>iznose 234.619.587,58 EUR i u odnosu na</w:t>
      </w:r>
      <w:r>
        <w:rPr>
          <w:rFonts w:ascii="Times New Roman" w:hAnsi="Times New Roman" w:cs="Times New Roman"/>
          <w:i/>
          <w:sz w:val="24"/>
        </w:rPr>
        <w:t xml:space="preserve"> </w:t>
      </w:r>
      <w:r>
        <w:rPr>
          <w:rFonts w:ascii="Times New Roman" w:hAnsi="Times New Roman" w:cs="Times New Roman"/>
          <w:sz w:val="24"/>
        </w:rPr>
        <w:t xml:space="preserve">prethodnu godinu veći su za 15,42%, a u odnosu na Plan za 2025. godinu za 5,61%. </w:t>
      </w:r>
      <w:r>
        <w:rPr>
          <w:rFonts w:ascii="Times New Roman" w:hAnsi="Times New Roman" w:cs="Times New Roman"/>
          <w:i/>
          <w:sz w:val="24"/>
        </w:rPr>
        <w:t> </w:t>
      </w:r>
    </w:p>
    <w:p w:rsidR="00C36434" w:rsidRDefault="00F03B32">
      <w:pPr>
        <w:spacing w:line="240" w:lineRule="auto"/>
        <w:jc w:val="both"/>
      </w:pPr>
      <w:r>
        <w:rPr>
          <w:rFonts w:ascii="Times New Roman" w:hAnsi="Times New Roman" w:cs="Times New Roman"/>
          <w:i/>
          <w:sz w:val="24"/>
        </w:rPr>
        <w:t>Rashodi za zaposlene</w:t>
      </w:r>
      <w:r>
        <w:rPr>
          <w:rFonts w:ascii="Times New Roman" w:hAnsi="Times New Roman" w:cs="Times New Roman"/>
          <w:sz w:val="24"/>
        </w:rPr>
        <w:t xml:space="preserve"> iznose 157.811.454,49 EUR što je na razini od 105,40% planiranih sredstava. U odnosu na isto razdoblje 2024. godine veći su za 17,78% odnosno za 23.819.682,10 EUR što je najvećim dijelom rezultat povećanja plaća radnika temeljem važećeg Kolektivnog ugovora (3. Aneks Kolektivnom ugovoru HŽ INFRASTRUKTURE d.o.o.). </w:t>
      </w:r>
    </w:p>
    <w:p w:rsidR="00C36434" w:rsidRDefault="00F03B32">
      <w:pPr>
        <w:spacing w:line="240" w:lineRule="auto"/>
        <w:jc w:val="both"/>
      </w:pPr>
      <w:r>
        <w:rPr>
          <w:rFonts w:ascii="Times New Roman" w:hAnsi="Times New Roman" w:cs="Times New Roman"/>
          <w:i/>
          <w:sz w:val="24"/>
        </w:rPr>
        <w:t>Materijalni rashodi</w:t>
      </w:r>
      <w:r>
        <w:rPr>
          <w:rFonts w:ascii="Times New Roman" w:hAnsi="Times New Roman" w:cs="Times New Roman"/>
          <w:sz w:val="24"/>
        </w:rPr>
        <w:t xml:space="preserve"> iznose 70.028.818,79 EUR i veći su za 22,56% u odnosu na 2024. </w:t>
      </w:r>
      <w:r w:rsidR="00703A86">
        <w:rPr>
          <w:rFonts w:ascii="Times New Roman" w:hAnsi="Times New Roman" w:cs="Times New Roman"/>
          <w:sz w:val="24"/>
        </w:rPr>
        <w:t>godinu</w:t>
      </w:r>
      <w:r>
        <w:rPr>
          <w:rFonts w:ascii="Times New Roman" w:hAnsi="Times New Roman" w:cs="Times New Roman"/>
          <w:sz w:val="24"/>
        </w:rPr>
        <w:t xml:space="preserve"> te za 3,31% u odnosu na Plan za 2025. </w:t>
      </w:r>
      <w:r w:rsidR="00703A86">
        <w:rPr>
          <w:rFonts w:ascii="Times New Roman" w:hAnsi="Times New Roman" w:cs="Times New Roman"/>
          <w:sz w:val="24"/>
        </w:rPr>
        <w:t>godinu.</w:t>
      </w:r>
      <w:r>
        <w:rPr>
          <w:rFonts w:ascii="Times New Roman" w:hAnsi="Times New Roman" w:cs="Times New Roman"/>
          <w:sz w:val="24"/>
        </w:rPr>
        <w:t xml:space="preserve"> U strukturi materijalnih rashoda za promatrano razdoblje 72,58% odnosi se na rashode za materijal i energiju i rashode za usluge koji se najvećim dijelom odnose na rashode vezane za redovno i izvanredno održavanje željezničke infrastrukture i održavanje zgrada i opreme. Ostali nespomenuti rashodi poslovanja izvršeni su u ukupnom iznosu 12.913.396,68 EUR</w:t>
      </w:r>
      <w:r>
        <w:rPr>
          <w:rFonts w:ascii="Times New Roman" w:hAnsi="Times New Roman" w:cs="Times New Roman"/>
          <w:color w:val="FF0000"/>
          <w:sz w:val="24"/>
        </w:rPr>
        <w:t xml:space="preserve"> </w:t>
      </w:r>
      <w:r>
        <w:rPr>
          <w:rFonts w:ascii="Times New Roman" w:hAnsi="Times New Roman" w:cs="Times New Roman"/>
          <w:sz w:val="24"/>
        </w:rPr>
        <w:t>od čega se na doprinose za korištenje gradskog zemljišta i vodoprivredne naknade odnosi 5.574.020,28 EUR i 5.574.557,61 EUR na troškove sudskih postupaka. Povećanje troškova sudskih postupaka najvećim dijelom se odnosi na mirno riješene sudske postupke/sporove s HŽ Putničkim prijevozom d.o.o. koji uključuju i naknadu štete po izvanrednom događaju u Rudinama (nagibni vlak).</w:t>
      </w:r>
    </w:p>
    <w:p w:rsidR="00C36434" w:rsidRDefault="00F03B32">
      <w:pPr>
        <w:spacing w:line="240" w:lineRule="auto"/>
        <w:jc w:val="both"/>
      </w:pPr>
      <w:r>
        <w:rPr>
          <w:rFonts w:ascii="Times New Roman" w:hAnsi="Times New Roman" w:cs="Times New Roman"/>
          <w:sz w:val="24"/>
        </w:rPr>
        <w:t xml:space="preserve">U 2025. </w:t>
      </w:r>
      <w:r w:rsidR="006212E7">
        <w:rPr>
          <w:rFonts w:ascii="Times New Roman" w:hAnsi="Times New Roman" w:cs="Times New Roman"/>
          <w:sz w:val="24"/>
        </w:rPr>
        <w:t xml:space="preserve">godini </w:t>
      </w:r>
      <w:r>
        <w:rPr>
          <w:rFonts w:ascii="Times New Roman" w:hAnsi="Times New Roman" w:cs="Times New Roman"/>
          <w:i/>
          <w:sz w:val="24"/>
        </w:rPr>
        <w:t>Financijski rashodi</w:t>
      </w:r>
      <w:r>
        <w:rPr>
          <w:rFonts w:ascii="Times New Roman" w:hAnsi="Times New Roman" w:cs="Times New Roman"/>
          <w:sz w:val="24"/>
        </w:rPr>
        <w:t xml:space="preserve"> iznose 5.364.690,01 EUR i veći su za 44,29% od planiranih. Povećanje je iskazano na poziciji Ostali financijski</w:t>
      </w:r>
      <w:r w:rsidR="00C44681">
        <w:rPr>
          <w:rFonts w:ascii="Times New Roman" w:hAnsi="Times New Roman" w:cs="Times New Roman"/>
          <w:sz w:val="24"/>
        </w:rPr>
        <w:t xml:space="preserve"> rashodi</w:t>
      </w:r>
      <w:r>
        <w:rPr>
          <w:rFonts w:ascii="Times New Roman" w:hAnsi="Times New Roman" w:cs="Times New Roman"/>
          <w:sz w:val="24"/>
        </w:rPr>
        <w:t xml:space="preserve"> na koj</w:t>
      </w:r>
      <w:r w:rsidR="00C44681">
        <w:rPr>
          <w:rFonts w:ascii="Times New Roman" w:hAnsi="Times New Roman" w:cs="Times New Roman"/>
          <w:sz w:val="24"/>
        </w:rPr>
        <w:t>oj</w:t>
      </w:r>
      <w:r>
        <w:rPr>
          <w:rFonts w:ascii="Times New Roman" w:hAnsi="Times New Roman" w:cs="Times New Roman"/>
          <w:sz w:val="24"/>
        </w:rPr>
        <w:t xml:space="preserve"> su evidentirane podmirene porezne obveze i obveze za leasing. Osim navedenoga, financijski rashodi obuhvaćaju kamate za primljene kredite i zajmove koji ukupno iznose 2.238.063,95 </w:t>
      </w:r>
      <w:r>
        <w:rPr>
          <w:rFonts w:ascii="Times New Roman" w:hAnsi="Times New Roman" w:cs="Times New Roman"/>
          <w:sz w:val="24"/>
        </w:rPr>
        <w:lastRenderedPageBreak/>
        <w:t>EUR, a od kojih se na rashode za kamate na primljene kredite i zajmove od kreditnih i ostalih financijskih institucija izvan javnog sektora (komercijalne</w:t>
      </w:r>
      <w:r w:rsidR="007A7330">
        <w:rPr>
          <w:rFonts w:ascii="Times New Roman" w:hAnsi="Times New Roman" w:cs="Times New Roman"/>
          <w:sz w:val="24"/>
        </w:rPr>
        <w:t xml:space="preserve"> banke) odnosi 1.659.191,13 EUR</w:t>
      </w:r>
      <w:r>
        <w:rPr>
          <w:rFonts w:ascii="Times New Roman" w:hAnsi="Times New Roman" w:cs="Times New Roman"/>
          <w:sz w:val="24"/>
        </w:rPr>
        <w:t xml:space="preserve"> te na kamate za primljene kredite od međunarodnih </w:t>
      </w:r>
      <w:r w:rsidR="008E4A5E">
        <w:rPr>
          <w:rFonts w:ascii="Times New Roman" w:hAnsi="Times New Roman" w:cs="Times New Roman"/>
          <w:sz w:val="24"/>
        </w:rPr>
        <w:t>organizacija, institucija i tijela EU te inozemnih vlada</w:t>
      </w:r>
      <w:r>
        <w:rPr>
          <w:rFonts w:ascii="Times New Roman" w:hAnsi="Times New Roman" w:cs="Times New Roman"/>
          <w:sz w:val="24"/>
        </w:rPr>
        <w:t xml:space="preserve"> 578.872,82 EUR. U komparaciji s 2024. </w:t>
      </w:r>
      <w:r w:rsidR="00B738C2">
        <w:rPr>
          <w:rFonts w:ascii="Times New Roman" w:hAnsi="Times New Roman" w:cs="Times New Roman"/>
          <w:sz w:val="24"/>
        </w:rPr>
        <w:t xml:space="preserve">godinom </w:t>
      </w:r>
      <w:r>
        <w:rPr>
          <w:rFonts w:ascii="Times New Roman" w:hAnsi="Times New Roman" w:cs="Times New Roman"/>
          <w:sz w:val="24"/>
        </w:rPr>
        <w:t>došlo je do pada kamat</w:t>
      </w:r>
      <w:r w:rsidR="00C44681">
        <w:rPr>
          <w:rFonts w:ascii="Times New Roman" w:hAnsi="Times New Roman" w:cs="Times New Roman"/>
          <w:sz w:val="24"/>
        </w:rPr>
        <w:t>a</w:t>
      </w:r>
      <w:r>
        <w:rPr>
          <w:rFonts w:ascii="Times New Roman" w:hAnsi="Times New Roman" w:cs="Times New Roman"/>
          <w:sz w:val="24"/>
        </w:rPr>
        <w:t xml:space="preserve"> za primljene kredite i zajmove za 65,62% zbog preuzimanja investicijskih kredita kojima su financirani projekti obnove, modernizacije i izgradnje željezničke infrastrukture od strane Republike Hrvatske</w:t>
      </w:r>
      <w:r w:rsidR="00D362F1">
        <w:rPr>
          <w:rFonts w:ascii="Times New Roman" w:hAnsi="Times New Roman" w:cs="Times New Roman"/>
          <w:sz w:val="24"/>
        </w:rPr>
        <w:t>,</w:t>
      </w:r>
      <w:r>
        <w:rPr>
          <w:rFonts w:ascii="Times New Roman" w:hAnsi="Times New Roman" w:cs="Times New Roman"/>
          <w:sz w:val="24"/>
        </w:rPr>
        <w:t xml:space="preserve"> Ministarstva financija te otplaćenog revolving kredita sklopljenog u 2024. </w:t>
      </w:r>
      <w:r w:rsidR="00FB37E1">
        <w:rPr>
          <w:rFonts w:ascii="Times New Roman" w:hAnsi="Times New Roman" w:cs="Times New Roman"/>
          <w:sz w:val="24"/>
        </w:rPr>
        <w:t>godini</w:t>
      </w:r>
      <w:r>
        <w:rPr>
          <w:rFonts w:ascii="Times New Roman" w:hAnsi="Times New Roman" w:cs="Times New Roman"/>
          <w:sz w:val="24"/>
        </w:rPr>
        <w:t xml:space="preserve"> između </w:t>
      </w:r>
      <w:r w:rsidR="00FB37E1">
        <w:rPr>
          <w:rFonts w:ascii="Times New Roman" w:hAnsi="Times New Roman" w:cs="Times New Roman"/>
          <w:sz w:val="24"/>
        </w:rPr>
        <w:t>Erste&amp;Steiermärkische</w:t>
      </w:r>
      <w:r>
        <w:rPr>
          <w:rFonts w:ascii="Times New Roman" w:hAnsi="Times New Roman" w:cs="Times New Roman"/>
          <w:sz w:val="24"/>
        </w:rPr>
        <w:t xml:space="preserve"> bank d.d. i HŽ INFRASTRUKTURE d.o.o.</w:t>
      </w:r>
    </w:p>
    <w:p w:rsidR="00C36434" w:rsidRDefault="00F03B32">
      <w:pPr>
        <w:spacing w:line="240" w:lineRule="auto"/>
        <w:ind w:left="420" w:hanging="420"/>
        <w:jc w:val="both"/>
      </w:pPr>
      <w:r>
        <w:rPr>
          <w:rFonts w:ascii="Times New Roman" w:hAnsi="Times New Roman" w:cs="Times New Roman"/>
          <w:sz w:val="24"/>
        </w:rPr>
        <w:t>RASHODI ZA NABAVU NEFINANCIJSKE IMOVINE</w:t>
      </w:r>
    </w:p>
    <w:p w:rsidR="00C36434" w:rsidRDefault="00F03B32">
      <w:pPr>
        <w:spacing w:line="240" w:lineRule="auto"/>
        <w:jc w:val="both"/>
      </w:pPr>
      <w:r>
        <w:rPr>
          <w:rFonts w:ascii="Times New Roman" w:hAnsi="Times New Roman" w:cs="Times New Roman"/>
          <w:sz w:val="24"/>
        </w:rPr>
        <w:t xml:space="preserve">Ukupni rashodi za nabavu nefinancijske imovine u 2025. </w:t>
      </w:r>
      <w:r w:rsidR="009E0231">
        <w:rPr>
          <w:rFonts w:ascii="Times New Roman" w:hAnsi="Times New Roman" w:cs="Times New Roman"/>
          <w:sz w:val="24"/>
        </w:rPr>
        <w:t>godini</w:t>
      </w:r>
      <w:r>
        <w:rPr>
          <w:rFonts w:ascii="Times New Roman" w:hAnsi="Times New Roman" w:cs="Times New Roman"/>
          <w:sz w:val="24"/>
        </w:rPr>
        <w:t xml:space="preserve"> iznose 296.359.780,</w:t>
      </w:r>
      <w:r w:rsidR="00780F9D">
        <w:rPr>
          <w:rFonts w:ascii="Times New Roman" w:hAnsi="Times New Roman" w:cs="Times New Roman"/>
          <w:sz w:val="24"/>
        </w:rPr>
        <w:t>89</w:t>
      </w:r>
      <w:r>
        <w:rPr>
          <w:rFonts w:ascii="Times New Roman" w:hAnsi="Times New Roman" w:cs="Times New Roman"/>
          <w:sz w:val="24"/>
        </w:rPr>
        <w:t xml:space="preserve"> EUR odnosno 91,54% planiranih sredstava za 2025. </w:t>
      </w:r>
      <w:r w:rsidR="009E0231">
        <w:rPr>
          <w:rFonts w:ascii="Times New Roman" w:hAnsi="Times New Roman" w:cs="Times New Roman"/>
          <w:sz w:val="24"/>
        </w:rPr>
        <w:t>godinu</w:t>
      </w:r>
      <w:r>
        <w:rPr>
          <w:rFonts w:ascii="Times New Roman" w:hAnsi="Times New Roman" w:cs="Times New Roman"/>
          <w:sz w:val="24"/>
        </w:rPr>
        <w:t>, od čega se na programe investicijskih aktivnosti odnosi 95,53% tj. 283.111.712,84 EUR.</w:t>
      </w:r>
    </w:p>
    <w:p w:rsidR="00C36434" w:rsidRDefault="00F03B32">
      <w:pPr>
        <w:spacing w:line="240" w:lineRule="auto"/>
        <w:jc w:val="both"/>
      </w:pPr>
      <w:r>
        <w:rPr>
          <w:rFonts w:ascii="Times New Roman" w:hAnsi="Times New Roman" w:cs="Times New Roman"/>
          <w:sz w:val="24"/>
        </w:rPr>
        <w:t>Izvršenje prema programima investicijskih aktivnosti :</w:t>
      </w:r>
    </w:p>
    <w:p w:rsidR="00C36434" w:rsidRDefault="00F03B32" w:rsidP="00DE47BC">
      <w:pPr>
        <w:pStyle w:val="Odlomakpopisa"/>
        <w:numPr>
          <w:ilvl w:val="0"/>
          <w:numId w:val="12"/>
        </w:numPr>
        <w:spacing w:line="276" w:lineRule="auto"/>
        <w:jc w:val="both"/>
      </w:pPr>
      <w:r w:rsidRPr="00280491">
        <w:rPr>
          <w:rFonts w:ascii="Times New Roman" w:hAnsi="Times New Roman" w:cs="Times New Roman"/>
          <w:sz w:val="24"/>
        </w:rPr>
        <w:t>Projekti iz programa obnove i modernizacije pruga za međunarodni promet u iznosu od 61.846.750,73 EUR</w:t>
      </w:r>
    </w:p>
    <w:p w:rsidR="00C36434" w:rsidRDefault="00F03B32" w:rsidP="00DE47BC">
      <w:pPr>
        <w:pStyle w:val="Odlomakpopisa"/>
        <w:numPr>
          <w:ilvl w:val="0"/>
          <w:numId w:val="12"/>
        </w:numPr>
        <w:spacing w:line="276" w:lineRule="auto"/>
        <w:jc w:val="both"/>
      </w:pPr>
      <w:r w:rsidRPr="00280491">
        <w:rPr>
          <w:rFonts w:ascii="Times New Roman" w:hAnsi="Times New Roman" w:cs="Times New Roman"/>
          <w:sz w:val="24"/>
        </w:rPr>
        <w:t>Projekti iz programa obnove i modernizacije pruga za regionalni promet u iznosu od 68.178.050,74 EUR</w:t>
      </w:r>
    </w:p>
    <w:p w:rsidR="00C36434" w:rsidRDefault="00F03B32" w:rsidP="00DE47BC">
      <w:pPr>
        <w:pStyle w:val="Odlomakpopisa"/>
        <w:numPr>
          <w:ilvl w:val="0"/>
          <w:numId w:val="12"/>
        </w:numPr>
        <w:spacing w:line="276" w:lineRule="auto"/>
        <w:jc w:val="both"/>
      </w:pPr>
      <w:r w:rsidRPr="00280491">
        <w:rPr>
          <w:rFonts w:ascii="Times New Roman" w:hAnsi="Times New Roman" w:cs="Times New Roman"/>
          <w:sz w:val="24"/>
        </w:rPr>
        <w:t>Projekti iz programa obnove i modernizacije pruga za lokalni promet u iznosu od 20.740.359,34 EUR</w:t>
      </w:r>
    </w:p>
    <w:p w:rsidR="00C36434" w:rsidRDefault="00F03B32" w:rsidP="00DE47BC">
      <w:pPr>
        <w:pStyle w:val="Odlomakpopisa"/>
        <w:numPr>
          <w:ilvl w:val="0"/>
          <w:numId w:val="12"/>
        </w:numPr>
        <w:spacing w:line="276" w:lineRule="auto"/>
        <w:jc w:val="both"/>
      </w:pPr>
      <w:r w:rsidRPr="00280491">
        <w:rPr>
          <w:rFonts w:ascii="Times New Roman" w:hAnsi="Times New Roman" w:cs="Times New Roman"/>
          <w:sz w:val="24"/>
        </w:rPr>
        <w:t>Program obnove i modernizacije željezničkog čvorišta Zagreb</w:t>
      </w:r>
      <w:r w:rsidR="00BE5338" w:rsidRPr="00280491">
        <w:rPr>
          <w:rFonts w:ascii="Times New Roman" w:hAnsi="Times New Roman" w:cs="Times New Roman"/>
          <w:sz w:val="24"/>
        </w:rPr>
        <w:t xml:space="preserve"> </w:t>
      </w:r>
      <w:r w:rsidRPr="00280491">
        <w:rPr>
          <w:rFonts w:ascii="Times New Roman" w:hAnsi="Times New Roman" w:cs="Times New Roman"/>
          <w:sz w:val="24"/>
        </w:rPr>
        <w:t>u iznosu od 12.425.022,10 EUR</w:t>
      </w:r>
    </w:p>
    <w:p w:rsidR="00C36434" w:rsidRDefault="00F03B32" w:rsidP="00DE47BC">
      <w:pPr>
        <w:pStyle w:val="Odlomakpopisa"/>
        <w:numPr>
          <w:ilvl w:val="0"/>
          <w:numId w:val="12"/>
        </w:numPr>
        <w:spacing w:line="276" w:lineRule="auto"/>
        <w:jc w:val="both"/>
      </w:pPr>
      <w:r w:rsidRPr="00280491">
        <w:rPr>
          <w:rFonts w:ascii="Times New Roman" w:hAnsi="Times New Roman" w:cs="Times New Roman"/>
          <w:sz w:val="24"/>
        </w:rPr>
        <w:t>Program aktivnosti u funkciji infrastrukture i prometa na mreži kao cjeline u iznosu od 22.983.929,25 EUR</w:t>
      </w:r>
    </w:p>
    <w:p w:rsidR="00C36434" w:rsidRDefault="00F03B32" w:rsidP="00DE47BC">
      <w:pPr>
        <w:pStyle w:val="Odlomakpopisa"/>
        <w:numPr>
          <w:ilvl w:val="0"/>
          <w:numId w:val="12"/>
        </w:numPr>
        <w:spacing w:line="276" w:lineRule="auto"/>
        <w:jc w:val="both"/>
      </w:pPr>
      <w:r w:rsidRPr="00280491">
        <w:rPr>
          <w:rFonts w:ascii="Times New Roman" w:hAnsi="Times New Roman" w:cs="Times New Roman"/>
          <w:sz w:val="24"/>
        </w:rPr>
        <w:t>Izgradnja novih pruga i kolosijeka u iznosu od 96.937.600,68 EUR</w:t>
      </w:r>
    </w:p>
    <w:p w:rsidR="00C36434" w:rsidRDefault="00F03B32">
      <w:pPr>
        <w:spacing w:line="240" w:lineRule="auto"/>
        <w:jc w:val="both"/>
      </w:pPr>
      <w:r>
        <w:rPr>
          <w:rFonts w:ascii="Times New Roman" w:hAnsi="Times New Roman" w:cs="Times New Roman"/>
          <w:sz w:val="24"/>
        </w:rPr>
        <w:t>Ukupno izvršeni rashodi za nabavu nefinancijske imovine gotovo u cijelosti (98,89%) se odnose na rashode za nabavu proizvedene dugotrajne imovine koji iznose 293.078.191,9</w:t>
      </w:r>
      <w:r w:rsidR="00096AEE">
        <w:rPr>
          <w:rFonts w:ascii="Times New Roman" w:hAnsi="Times New Roman" w:cs="Times New Roman"/>
          <w:sz w:val="24"/>
        </w:rPr>
        <w:t>7</w:t>
      </w:r>
      <w:r>
        <w:rPr>
          <w:rFonts w:ascii="Times New Roman" w:hAnsi="Times New Roman" w:cs="Times New Roman"/>
          <w:sz w:val="24"/>
        </w:rPr>
        <w:t xml:space="preserve"> EUR od kojih se 265.470.335,12 EUR odnosi na građevinske objekte tj. 262.660.107,42 EUR na </w:t>
      </w:r>
      <w:r w:rsidR="000807E7">
        <w:rPr>
          <w:rFonts w:ascii="Times New Roman" w:hAnsi="Times New Roman" w:cs="Times New Roman"/>
          <w:sz w:val="24"/>
        </w:rPr>
        <w:t xml:space="preserve">ceste, </w:t>
      </w:r>
      <w:r>
        <w:rPr>
          <w:rFonts w:ascii="Times New Roman" w:hAnsi="Times New Roman" w:cs="Times New Roman"/>
          <w:sz w:val="24"/>
        </w:rPr>
        <w:t>željeznice</w:t>
      </w:r>
      <w:r w:rsidR="000807E7">
        <w:rPr>
          <w:rFonts w:ascii="Times New Roman" w:hAnsi="Times New Roman" w:cs="Times New Roman"/>
          <w:sz w:val="24"/>
        </w:rPr>
        <w:t xml:space="preserve"> i ostale prometne objekte</w:t>
      </w:r>
      <w:r>
        <w:rPr>
          <w:rFonts w:ascii="Times New Roman" w:hAnsi="Times New Roman" w:cs="Times New Roman"/>
          <w:sz w:val="24"/>
        </w:rPr>
        <w:t xml:space="preserve"> i 2.810.227,70 EUR na poslovne objekte i ostale građevinske objekte u funkciji željezničkog prometa. Osim navedenoga, rashodi za nabavu nefinancijske imovine odnose </w:t>
      </w:r>
      <w:r w:rsidR="00C930C1">
        <w:rPr>
          <w:rFonts w:ascii="Times New Roman" w:hAnsi="Times New Roman" w:cs="Times New Roman"/>
          <w:sz w:val="24"/>
        </w:rPr>
        <w:t xml:space="preserve">se </w:t>
      </w:r>
      <w:r>
        <w:rPr>
          <w:rFonts w:ascii="Times New Roman" w:hAnsi="Times New Roman" w:cs="Times New Roman"/>
          <w:sz w:val="24"/>
        </w:rPr>
        <w:t>na rashode za:</w:t>
      </w:r>
    </w:p>
    <w:p w:rsidR="00C36434" w:rsidRDefault="00F03B32" w:rsidP="00280491">
      <w:pPr>
        <w:pStyle w:val="Odlomakpopisa"/>
        <w:numPr>
          <w:ilvl w:val="0"/>
          <w:numId w:val="14"/>
        </w:numPr>
        <w:spacing w:line="276" w:lineRule="auto"/>
        <w:jc w:val="both"/>
      </w:pPr>
      <w:r w:rsidRPr="00280491">
        <w:rPr>
          <w:rFonts w:ascii="Times New Roman" w:hAnsi="Times New Roman" w:cs="Times New Roman"/>
          <w:sz w:val="24"/>
        </w:rPr>
        <w:t>Postrojenja i opremu u iznosu od 17.222.890,48 EUR</w:t>
      </w:r>
    </w:p>
    <w:p w:rsidR="00C36434" w:rsidRDefault="00F03B32" w:rsidP="00280491">
      <w:pPr>
        <w:pStyle w:val="Odlomakpopisa"/>
        <w:numPr>
          <w:ilvl w:val="0"/>
          <w:numId w:val="14"/>
        </w:numPr>
        <w:spacing w:line="276" w:lineRule="auto"/>
        <w:jc w:val="both"/>
      </w:pPr>
      <w:r w:rsidRPr="00280491">
        <w:rPr>
          <w:rFonts w:ascii="Times New Roman" w:hAnsi="Times New Roman" w:cs="Times New Roman"/>
          <w:sz w:val="24"/>
        </w:rPr>
        <w:t>Prijevozna sredstva u iznosu od 7.118.468,15 EUR</w:t>
      </w:r>
    </w:p>
    <w:p w:rsidR="00C36434" w:rsidRDefault="00F03B32" w:rsidP="00280491">
      <w:pPr>
        <w:pStyle w:val="Odlomakpopisa"/>
        <w:numPr>
          <w:ilvl w:val="0"/>
          <w:numId w:val="14"/>
        </w:numPr>
        <w:spacing w:line="276" w:lineRule="auto"/>
        <w:jc w:val="both"/>
      </w:pPr>
      <w:r w:rsidRPr="00280491">
        <w:rPr>
          <w:rFonts w:ascii="Times New Roman" w:hAnsi="Times New Roman" w:cs="Times New Roman"/>
          <w:sz w:val="24"/>
        </w:rPr>
        <w:t>Nematerijalnu proizvedenu imovinu u iznosu od 3.266.498,22 EUR</w:t>
      </w:r>
    </w:p>
    <w:p w:rsidR="00C36434" w:rsidRDefault="00F03B32">
      <w:pPr>
        <w:spacing w:line="240" w:lineRule="auto"/>
        <w:jc w:val="both"/>
      </w:pPr>
      <w:r>
        <w:rPr>
          <w:rFonts w:ascii="Times New Roman" w:hAnsi="Times New Roman" w:cs="Times New Roman"/>
          <w:sz w:val="24"/>
        </w:rPr>
        <w:t>Rashodi za nabavu neproizvedene dugotrajne imovine iznose 3.281.588,92 EUR i odnose se na rashode vezane za otkupe zemljišta. </w:t>
      </w:r>
    </w:p>
    <w:p w:rsidR="00C36434" w:rsidRDefault="00F03B32">
      <w:pPr>
        <w:spacing w:line="240" w:lineRule="auto"/>
        <w:jc w:val="both"/>
      </w:pPr>
      <w:r>
        <w:rPr>
          <w:rFonts w:ascii="Times New Roman" w:hAnsi="Times New Roman" w:cs="Times New Roman"/>
          <w:sz w:val="24"/>
        </w:rPr>
        <w:t xml:space="preserve">Manja realizacija planiranih rashoda vezanih za investicijski dio poslovanja HŽ INFRASTRUKTURE d.o.o. u odnosu na plan, rezultat </w:t>
      </w:r>
      <w:r w:rsidR="00D67043">
        <w:rPr>
          <w:rFonts w:ascii="Times New Roman" w:hAnsi="Times New Roman" w:cs="Times New Roman"/>
          <w:sz w:val="24"/>
        </w:rPr>
        <w:t>je</w:t>
      </w:r>
      <w:r>
        <w:rPr>
          <w:rFonts w:ascii="Times New Roman" w:hAnsi="Times New Roman" w:cs="Times New Roman"/>
          <w:sz w:val="24"/>
        </w:rPr>
        <w:t xml:space="preserve"> promijenjene dinamike investicijskih aktivnosti uslijed otežane nabavke strateškog materijala, dugotrajnih postupaka javne nabave i usporenog rješavanja imovinsko-pravnih odnosa. Napominje se da je promijenjena dinamika realizacije rezultirala time da je značajan dio radova izvršen krajem godine što je imalo za posljedicu da će radovi biti plaćeni u sljedećem proračunskom razdoblju tj. da će biti evidentirani na pozicijama rashoda u 2026. godini.  </w:t>
      </w:r>
    </w:p>
    <w:p w:rsidR="00C36434" w:rsidRDefault="00F03B32">
      <w:pPr>
        <w:spacing w:line="240" w:lineRule="auto"/>
        <w:jc w:val="both"/>
      </w:pPr>
      <w:r>
        <w:rPr>
          <w:rFonts w:ascii="Times New Roman" w:hAnsi="Times New Roman" w:cs="Times New Roman"/>
          <w:sz w:val="24"/>
        </w:rPr>
        <w:lastRenderedPageBreak/>
        <w:t xml:space="preserve">U odnosu na 2024. </w:t>
      </w:r>
      <w:r w:rsidR="00BD7300">
        <w:rPr>
          <w:rFonts w:ascii="Times New Roman" w:hAnsi="Times New Roman" w:cs="Times New Roman"/>
          <w:sz w:val="24"/>
        </w:rPr>
        <w:t>godin</w:t>
      </w:r>
      <w:r w:rsidR="00D07411">
        <w:rPr>
          <w:rFonts w:ascii="Times New Roman" w:hAnsi="Times New Roman" w:cs="Times New Roman"/>
          <w:sz w:val="24"/>
        </w:rPr>
        <w:t>u</w:t>
      </w:r>
      <w:r>
        <w:rPr>
          <w:rFonts w:ascii="Times New Roman" w:hAnsi="Times New Roman" w:cs="Times New Roman"/>
          <w:sz w:val="24"/>
        </w:rPr>
        <w:t xml:space="preserve">, realizacija rashoda </w:t>
      </w:r>
      <w:r w:rsidR="00452DD1">
        <w:rPr>
          <w:rFonts w:ascii="Times New Roman" w:hAnsi="Times New Roman" w:cs="Times New Roman"/>
          <w:sz w:val="24"/>
        </w:rPr>
        <w:t xml:space="preserve">za nabavu nefinancijske imovine </w:t>
      </w:r>
      <w:r>
        <w:rPr>
          <w:rFonts w:ascii="Times New Roman" w:hAnsi="Times New Roman" w:cs="Times New Roman"/>
          <w:sz w:val="24"/>
        </w:rPr>
        <w:t>veća je za 29,27% odnosno za 67.109.90</w:t>
      </w:r>
      <w:r w:rsidR="00EE2816">
        <w:rPr>
          <w:rFonts w:ascii="Times New Roman" w:hAnsi="Times New Roman" w:cs="Times New Roman"/>
          <w:sz w:val="24"/>
        </w:rPr>
        <w:t>1</w:t>
      </w:r>
      <w:r>
        <w:rPr>
          <w:rFonts w:ascii="Times New Roman" w:hAnsi="Times New Roman" w:cs="Times New Roman"/>
          <w:sz w:val="24"/>
        </w:rPr>
        <w:t>,</w:t>
      </w:r>
      <w:r w:rsidR="00EE2816">
        <w:rPr>
          <w:rFonts w:ascii="Times New Roman" w:hAnsi="Times New Roman" w:cs="Times New Roman"/>
          <w:sz w:val="24"/>
        </w:rPr>
        <w:t>65</w:t>
      </w:r>
      <w:r>
        <w:rPr>
          <w:rFonts w:ascii="Times New Roman" w:hAnsi="Times New Roman" w:cs="Times New Roman"/>
          <w:sz w:val="24"/>
        </w:rPr>
        <w:t xml:space="preserve"> EUR.</w:t>
      </w:r>
      <w:r>
        <w:rPr>
          <w:rFonts w:ascii="Times New Roman" w:hAnsi="Times New Roman" w:cs="Times New Roman"/>
          <w:color w:val="FF0000"/>
          <w:sz w:val="24"/>
        </w:rPr>
        <w:t> </w:t>
      </w:r>
    </w:p>
    <w:p w:rsidR="00280491" w:rsidRDefault="00280491">
      <w:pPr>
        <w:spacing w:line="360" w:lineRule="auto"/>
        <w:rPr>
          <w:rFonts w:ascii="Times New Roman" w:hAnsi="Times New Roman" w:cs="Times New Roman"/>
          <w:b/>
          <w:sz w:val="24"/>
          <w:u w:val="single"/>
        </w:rPr>
      </w:pPr>
    </w:p>
    <w:p w:rsidR="00C36434" w:rsidRDefault="00F03B32">
      <w:pPr>
        <w:spacing w:line="360" w:lineRule="auto"/>
      </w:pPr>
      <w:r>
        <w:rPr>
          <w:rFonts w:ascii="Times New Roman" w:hAnsi="Times New Roman" w:cs="Times New Roman"/>
          <w:b/>
          <w:sz w:val="24"/>
          <w:u w:val="single"/>
        </w:rPr>
        <w:t>RAČUN FINANCIRANJA</w:t>
      </w:r>
    </w:p>
    <w:p w:rsidR="00C36434" w:rsidRDefault="00F03B32">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C36434">
        <w:tc>
          <w:tcPr>
            <w:tcW w:w="25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25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4=3/2</w:t>
            </w:r>
          </w:p>
        </w:tc>
      </w:tr>
      <w:tr w:rsidR="00C36434">
        <w:tc>
          <w:tcPr>
            <w:tcW w:w="2500" w:type="pct"/>
            <w:vAlign w:val="center"/>
          </w:tcPr>
          <w:p w:rsidR="00C36434" w:rsidRDefault="00F03B32">
            <w:pPr>
              <w:spacing w:after="0" w:line="240" w:lineRule="auto"/>
            </w:pPr>
            <w:r>
              <w:rPr>
                <w:rFonts w:ascii="Times New Roman" w:hAnsi="Times New Roman" w:cs="Times New Roman"/>
                <w:sz w:val="18"/>
              </w:rPr>
              <w:t>UKUPNI PRIHODI</w:t>
            </w:r>
          </w:p>
        </w:tc>
        <w:tc>
          <w:tcPr>
            <w:tcW w:w="1000" w:type="pct"/>
            <w:vAlign w:val="bottom"/>
          </w:tcPr>
          <w:p w:rsidR="00C36434" w:rsidRDefault="00F03B32">
            <w:pPr>
              <w:spacing w:after="0" w:line="240" w:lineRule="auto"/>
              <w:jc w:val="right"/>
            </w:pPr>
            <w:r>
              <w:rPr>
                <w:rFonts w:ascii="Times New Roman" w:hAnsi="Times New Roman" w:cs="Times New Roman"/>
                <w:sz w:val="18"/>
              </w:rPr>
              <w:t>555.561.768</w:t>
            </w:r>
          </w:p>
        </w:tc>
        <w:tc>
          <w:tcPr>
            <w:tcW w:w="1000" w:type="pct"/>
            <w:vAlign w:val="bottom"/>
          </w:tcPr>
          <w:p w:rsidR="00C36434" w:rsidRDefault="00F03B32">
            <w:pPr>
              <w:spacing w:after="0" w:line="240" w:lineRule="auto"/>
              <w:jc w:val="right"/>
            </w:pPr>
            <w:r>
              <w:rPr>
                <w:rFonts w:ascii="Times New Roman" w:hAnsi="Times New Roman" w:cs="Times New Roman"/>
                <w:sz w:val="18"/>
              </w:rPr>
              <w:t>550.755.384</w:t>
            </w:r>
          </w:p>
        </w:tc>
        <w:tc>
          <w:tcPr>
            <w:tcW w:w="800" w:type="pct"/>
            <w:vAlign w:val="bottom"/>
          </w:tcPr>
          <w:p w:rsidR="00C36434" w:rsidRDefault="00F03B32">
            <w:pPr>
              <w:spacing w:after="0" w:line="240" w:lineRule="auto"/>
              <w:jc w:val="right"/>
            </w:pPr>
            <w:r>
              <w:rPr>
                <w:rFonts w:ascii="Times New Roman" w:hAnsi="Times New Roman" w:cs="Times New Roman"/>
                <w:sz w:val="18"/>
              </w:rPr>
              <w:t>99,1</w:t>
            </w:r>
          </w:p>
        </w:tc>
      </w:tr>
      <w:tr w:rsidR="00C36434">
        <w:tc>
          <w:tcPr>
            <w:tcW w:w="2500" w:type="pct"/>
            <w:vAlign w:val="bottom"/>
          </w:tcPr>
          <w:p w:rsidR="00C36434" w:rsidRDefault="00F03B32">
            <w:pPr>
              <w:spacing w:after="0" w:line="240" w:lineRule="auto"/>
            </w:pPr>
            <w:r>
              <w:rPr>
                <w:rFonts w:ascii="Times New Roman" w:hAnsi="Times New Roman" w:cs="Times New Roman"/>
                <w:sz w:val="18"/>
              </w:rPr>
              <w:t>UKUPNI RASHODI</w:t>
            </w:r>
          </w:p>
        </w:tc>
        <w:tc>
          <w:tcPr>
            <w:tcW w:w="1000" w:type="pct"/>
            <w:vAlign w:val="bottom"/>
          </w:tcPr>
          <w:p w:rsidR="00C36434" w:rsidRDefault="00F03B32">
            <w:pPr>
              <w:spacing w:after="0" w:line="240" w:lineRule="auto"/>
              <w:jc w:val="right"/>
            </w:pPr>
            <w:r>
              <w:rPr>
                <w:rFonts w:ascii="Times New Roman" w:hAnsi="Times New Roman" w:cs="Times New Roman"/>
                <w:sz w:val="18"/>
              </w:rPr>
              <w:t>545.907.000</w:t>
            </w:r>
          </w:p>
        </w:tc>
        <w:tc>
          <w:tcPr>
            <w:tcW w:w="1000" w:type="pct"/>
            <w:vAlign w:val="bottom"/>
          </w:tcPr>
          <w:p w:rsidR="00C36434" w:rsidRDefault="00F03B32">
            <w:pPr>
              <w:spacing w:after="0" w:line="240" w:lineRule="auto"/>
              <w:jc w:val="right"/>
            </w:pPr>
            <w:r>
              <w:rPr>
                <w:rFonts w:ascii="Times New Roman" w:hAnsi="Times New Roman" w:cs="Times New Roman"/>
                <w:sz w:val="18"/>
              </w:rPr>
              <w:t>530.979.368</w:t>
            </w:r>
          </w:p>
        </w:tc>
        <w:tc>
          <w:tcPr>
            <w:tcW w:w="800" w:type="pct"/>
            <w:vAlign w:val="bottom"/>
          </w:tcPr>
          <w:p w:rsidR="00C36434" w:rsidRDefault="00F03B32">
            <w:pPr>
              <w:spacing w:after="0" w:line="240" w:lineRule="auto"/>
              <w:jc w:val="right"/>
            </w:pPr>
            <w:r>
              <w:rPr>
                <w:rFonts w:ascii="Times New Roman" w:hAnsi="Times New Roman" w:cs="Times New Roman"/>
                <w:sz w:val="18"/>
              </w:rPr>
              <w:t>97,3</w:t>
            </w:r>
          </w:p>
        </w:tc>
      </w:tr>
      <w:tr w:rsidR="00C36434">
        <w:tc>
          <w:tcPr>
            <w:tcW w:w="2500" w:type="pct"/>
            <w:vAlign w:val="bottom"/>
          </w:tcPr>
          <w:p w:rsidR="00C36434" w:rsidRDefault="00F03B32">
            <w:pPr>
              <w:spacing w:after="0" w:line="240" w:lineRule="auto"/>
            </w:pPr>
            <w:r>
              <w:rPr>
                <w:rFonts w:ascii="Times New Roman" w:hAnsi="Times New Roman" w:cs="Times New Roman"/>
                <w:b/>
                <w:sz w:val="18"/>
              </w:rPr>
              <w:t>RAZLIKA - VIŠAK/MANJAK</w:t>
            </w:r>
          </w:p>
        </w:tc>
        <w:tc>
          <w:tcPr>
            <w:tcW w:w="1000" w:type="pct"/>
            <w:vAlign w:val="bottom"/>
          </w:tcPr>
          <w:p w:rsidR="00C36434" w:rsidRDefault="00F03B32">
            <w:pPr>
              <w:spacing w:after="0" w:line="240" w:lineRule="auto"/>
              <w:jc w:val="right"/>
            </w:pPr>
            <w:r>
              <w:rPr>
                <w:rFonts w:ascii="Times New Roman" w:hAnsi="Times New Roman" w:cs="Times New Roman"/>
                <w:b/>
                <w:sz w:val="18"/>
              </w:rPr>
              <w:t>9.654.768</w:t>
            </w:r>
          </w:p>
        </w:tc>
        <w:tc>
          <w:tcPr>
            <w:tcW w:w="800" w:type="pct"/>
            <w:vAlign w:val="bottom"/>
          </w:tcPr>
          <w:p w:rsidR="00C36434" w:rsidRDefault="00F03B32">
            <w:pPr>
              <w:spacing w:after="0" w:line="240" w:lineRule="auto"/>
              <w:jc w:val="right"/>
            </w:pPr>
            <w:r>
              <w:rPr>
                <w:rFonts w:ascii="Times New Roman" w:hAnsi="Times New Roman" w:cs="Times New Roman"/>
                <w:b/>
                <w:sz w:val="18"/>
              </w:rPr>
              <w:t>19.776.016</w:t>
            </w:r>
          </w:p>
        </w:tc>
        <w:tc>
          <w:tcPr>
            <w:tcW w:w="800" w:type="pct"/>
            <w:vAlign w:val="bottom"/>
          </w:tcPr>
          <w:p w:rsidR="00C36434" w:rsidRDefault="00F03B32">
            <w:pPr>
              <w:spacing w:after="0" w:line="240" w:lineRule="auto"/>
              <w:jc w:val="right"/>
            </w:pPr>
            <w:r>
              <w:rPr>
                <w:rFonts w:ascii="Times New Roman" w:hAnsi="Times New Roman" w:cs="Times New Roman"/>
                <w:b/>
                <w:sz w:val="18"/>
              </w:rPr>
              <w:t>204,8</w:t>
            </w:r>
          </w:p>
        </w:tc>
      </w:tr>
    </w:tbl>
    <w:p w:rsidR="00C36434" w:rsidRDefault="00C36434">
      <w:pPr>
        <w:spacing w:after="0" w:line="240" w:lineRule="auto"/>
      </w:pPr>
    </w:p>
    <w:p w:rsidR="00C36434" w:rsidRDefault="00F03B32">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C36434">
        <w:tc>
          <w:tcPr>
            <w:tcW w:w="25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25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4=3/2</w:t>
            </w:r>
          </w:p>
        </w:tc>
      </w:tr>
      <w:tr w:rsidR="00C36434">
        <w:tc>
          <w:tcPr>
            <w:tcW w:w="2500" w:type="pct"/>
            <w:vAlign w:val="center"/>
          </w:tcPr>
          <w:p w:rsidR="00C36434" w:rsidRDefault="00F03B32">
            <w:pPr>
              <w:spacing w:after="0" w:line="240" w:lineRule="auto"/>
            </w:pPr>
            <w:r>
              <w:rPr>
                <w:rFonts w:ascii="Times New Roman" w:hAnsi="Times New Roman" w:cs="Times New Roman"/>
                <w:sz w:val="18"/>
              </w:rPr>
              <w:t>8 PRIMICI OD FINANCIJSKE IMOVINE I ZADUŽIVANJA</w:t>
            </w:r>
          </w:p>
        </w:tc>
        <w:tc>
          <w:tcPr>
            <w:tcW w:w="1000" w:type="pct"/>
            <w:vAlign w:val="bottom"/>
          </w:tcPr>
          <w:p w:rsidR="00C36434" w:rsidRDefault="00F03B32">
            <w:pPr>
              <w:spacing w:after="0" w:line="240" w:lineRule="auto"/>
              <w:jc w:val="right"/>
            </w:pPr>
            <w:r>
              <w:rPr>
                <w:rFonts w:ascii="Times New Roman" w:hAnsi="Times New Roman" w:cs="Times New Roman"/>
                <w:sz w:val="18"/>
              </w:rPr>
              <w:t>55.000.000</w:t>
            </w:r>
          </w:p>
        </w:tc>
        <w:tc>
          <w:tcPr>
            <w:tcW w:w="1000" w:type="pct"/>
            <w:vAlign w:val="bottom"/>
          </w:tcPr>
          <w:p w:rsidR="00C36434" w:rsidRDefault="00F03B32">
            <w:pPr>
              <w:spacing w:after="0" w:line="240" w:lineRule="auto"/>
              <w:jc w:val="right"/>
            </w:pPr>
            <w:r>
              <w:rPr>
                <w:rFonts w:ascii="Times New Roman" w:hAnsi="Times New Roman" w:cs="Times New Roman"/>
                <w:sz w:val="18"/>
              </w:rPr>
              <w:t>55.000.000</w:t>
            </w:r>
          </w:p>
        </w:tc>
        <w:tc>
          <w:tcPr>
            <w:tcW w:w="800" w:type="pct"/>
            <w:vAlign w:val="bottom"/>
          </w:tcPr>
          <w:p w:rsidR="00C36434" w:rsidRDefault="00F03B32">
            <w:pPr>
              <w:spacing w:after="0" w:line="240" w:lineRule="auto"/>
              <w:jc w:val="right"/>
            </w:pPr>
            <w:r>
              <w:rPr>
                <w:rFonts w:ascii="Times New Roman" w:hAnsi="Times New Roman" w:cs="Times New Roman"/>
                <w:sz w:val="18"/>
              </w:rPr>
              <w:t>100,0</w:t>
            </w:r>
          </w:p>
        </w:tc>
      </w:tr>
      <w:tr w:rsidR="00C36434">
        <w:tc>
          <w:tcPr>
            <w:tcW w:w="2500" w:type="pct"/>
            <w:vAlign w:val="bottom"/>
          </w:tcPr>
          <w:p w:rsidR="00C36434" w:rsidRDefault="00F03B32">
            <w:pPr>
              <w:spacing w:after="0" w:line="240" w:lineRule="auto"/>
            </w:pPr>
            <w:r>
              <w:rPr>
                <w:rFonts w:ascii="Times New Roman" w:hAnsi="Times New Roman" w:cs="Times New Roman"/>
                <w:sz w:val="18"/>
              </w:rPr>
              <w:t>5 IZDACI ZA FINANCIJSKU IMOVINU I OTPLATE</w:t>
            </w:r>
          </w:p>
        </w:tc>
        <w:tc>
          <w:tcPr>
            <w:tcW w:w="1000" w:type="pct"/>
            <w:vAlign w:val="bottom"/>
          </w:tcPr>
          <w:p w:rsidR="00C36434" w:rsidRDefault="00F03B32">
            <w:pPr>
              <w:spacing w:after="0" w:line="240" w:lineRule="auto"/>
              <w:jc w:val="right"/>
            </w:pPr>
            <w:r>
              <w:rPr>
                <w:rFonts w:ascii="Times New Roman" w:hAnsi="Times New Roman" w:cs="Times New Roman"/>
                <w:sz w:val="18"/>
              </w:rPr>
              <w:t>66.319.520</w:t>
            </w:r>
          </w:p>
        </w:tc>
        <w:tc>
          <w:tcPr>
            <w:tcW w:w="1000" w:type="pct"/>
            <w:vAlign w:val="bottom"/>
          </w:tcPr>
          <w:p w:rsidR="00C36434" w:rsidRDefault="00F03B32">
            <w:pPr>
              <w:spacing w:after="0" w:line="240" w:lineRule="auto"/>
              <w:jc w:val="right"/>
            </w:pPr>
            <w:r>
              <w:rPr>
                <w:rFonts w:ascii="Times New Roman" w:hAnsi="Times New Roman" w:cs="Times New Roman"/>
                <w:sz w:val="18"/>
              </w:rPr>
              <w:t>65.669.233</w:t>
            </w:r>
          </w:p>
        </w:tc>
        <w:tc>
          <w:tcPr>
            <w:tcW w:w="800" w:type="pct"/>
            <w:vAlign w:val="bottom"/>
          </w:tcPr>
          <w:p w:rsidR="00C36434" w:rsidRDefault="00F03B32">
            <w:pPr>
              <w:spacing w:after="0" w:line="240" w:lineRule="auto"/>
              <w:jc w:val="right"/>
            </w:pPr>
            <w:r>
              <w:rPr>
                <w:rFonts w:ascii="Times New Roman" w:hAnsi="Times New Roman" w:cs="Times New Roman"/>
                <w:sz w:val="18"/>
              </w:rPr>
              <w:t>99,0</w:t>
            </w:r>
          </w:p>
        </w:tc>
      </w:tr>
      <w:tr w:rsidR="00C36434">
        <w:tc>
          <w:tcPr>
            <w:tcW w:w="980" w:type="pct"/>
            <w:vAlign w:val="bottom"/>
          </w:tcPr>
          <w:p w:rsidR="00C36434" w:rsidRDefault="00F03B32">
            <w:pPr>
              <w:spacing w:after="0" w:line="240" w:lineRule="auto"/>
            </w:pPr>
            <w:r>
              <w:rPr>
                <w:rFonts w:ascii="Times New Roman" w:hAnsi="Times New Roman" w:cs="Times New Roman"/>
                <w:b/>
                <w:sz w:val="18"/>
              </w:rPr>
              <w:t>RAZLIKA PRIMITAKA I IZDATAKA</w:t>
            </w:r>
          </w:p>
        </w:tc>
        <w:tc>
          <w:tcPr>
            <w:tcW w:w="690" w:type="pct"/>
            <w:vAlign w:val="bottom"/>
          </w:tcPr>
          <w:p w:rsidR="00C36434" w:rsidRDefault="00F03B32">
            <w:pPr>
              <w:spacing w:after="0" w:line="240" w:lineRule="auto"/>
              <w:jc w:val="right"/>
            </w:pPr>
            <w:r>
              <w:rPr>
                <w:rFonts w:ascii="Times New Roman" w:hAnsi="Times New Roman" w:cs="Times New Roman"/>
                <w:b/>
                <w:sz w:val="18"/>
              </w:rPr>
              <w:t>-11.319.520</w:t>
            </w:r>
          </w:p>
        </w:tc>
        <w:tc>
          <w:tcPr>
            <w:tcW w:w="690" w:type="pct"/>
            <w:vAlign w:val="bottom"/>
          </w:tcPr>
          <w:p w:rsidR="00C36434" w:rsidRDefault="00F03B32">
            <w:pPr>
              <w:spacing w:after="0" w:line="240" w:lineRule="auto"/>
              <w:jc w:val="right"/>
            </w:pPr>
            <w:r>
              <w:rPr>
                <w:rFonts w:ascii="Times New Roman" w:hAnsi="Times New Roman" w:cs="Times New Roman"/>
                <w:b/>
                <w:sz w:val="18"/>
              </w:rPr>
              <w:t>-10.669.233</w:t>
            </w:r>
          </w:p>
        </w:tc>
        <w:tc>
          <w:tcPr>
            <w:tcW w:w="690" w:type="pct"/>
            <w:vAlign w:val="bottom"/>
          </w:tcPr>
          <w:p w:rsidR="00C36434" w:rsidRDefault="00F03B32">
            <w:pPr>
              <w:spacing w:after="0" w:line="240" w:lineRule="auto"/>
              <w:jc w:val="right"/>
            </w:pPr>
            <w:r>
              <w:rPr>
                <w:rFonts w:ascii="Times New Roman" w:hAnsi="Times New Roman" w:cs="Times New Roman"/>
                <w:b/>
                <w:sz w:val="18"/>
              </w:rPr>
              <w:t>94,3</w:t>
            </w:r>
          </w:p>
        </w:tc>
      </w:tr>
      <w:tr w:rsidR="00C36434">
        <w:tc>
          <w:tcPr>
            <w:tcW w:w="2500" w:type="pct"/>
            <w:vAlign w:val="bottom"/>
          </w:tcPr>
          <w:p w:rsidR="00C36434" w:rsidRDefault="00F03B32">
            <w:pPr>
              <w:spacing w:after="0" w:line="240" w:lineRule="auto"/>
            </w:pPr>
            <w:r>
              <w:rPr>
                <w:rFonts w:ascii="Times New Roman" w:hAnsi="Times New Roman" w:cs="Times New Roman"/>
                <w:sz w:val="18"/>
              </w:rPr>
              <w:t>PRIJENOS SREDSTAVA IZ PRETHODNE GODINE</w:t>
            </w:r>
          </w:p>
        </w:tc>
        <w:tc>
          <w:tcPr>
            <w:tcW w:w="1000" w:type="pct"/>
            <w:vAlign w:val="bottom"/>
          </w:tcPr>
          <w:p w:rsidR="00C36434" w:rsidRDefault="00F03B32">
            <w:pPr>
              <w:spacing w:after="0" w:line="240" w:lineRule="auto"/>
              <w:jc w:val="right"/>
            </w:pPr>
            <w:r>
              <w:rPr>
                <w:rFonts w:ascii="Times New Roman" w:hAnsi="Times New Roman" w:cs="Times New Roman"/>
                <w:sz w:val="18"/>
              </w:rPr>
              <w:t>110.884.548</w:t>
            </w:r>
          </w:p>
        </w:tc>
        <w:tc>
          <w:tcPr>
            <w:tcW w:w="800" w:type="pct"/>
            <w:vAlign w:val="bottom"/>
          </w:tcPr>
          <w:p w:rsidR="00C36434" w:rsidRDefault="00F03B32">
            <w:pPr>
              <w:spacing w:after="0" w:line="240" w:lineRule="auto"/>
              <w:jc w:val="right"/>
            </w:pPr>
            <w:r>
              <w:rPr>
                <w:rFonts w:ascii="Times New Roman" w:hAnsi="Times New Roman" w:cs="Times New Roman"/>
                <w:sz w:val="18"/>
              </w:rPr>
              <w:t>110.884.548</w:t>
            </w:r>
          </w:p>
        </w:tc>
        <w:tc>
          <w:tcPr>
            <w:tcW w:w="800" w:type="pct"/>
            <w:vAlign w:val="bottom"/>
          </w:tcPr>
          <w:p w:rsidR="00C36434" w:rsidRDefault="00F03B32">
            <w:pPr>
              <w:spacing w:after="0" w:line="240" w:lineRule="auto"/>
              <w:jc w:val="right"/>
            </w:pPr>
            <w:r>
              <w:rPr>
                <w:rFonts w:ascii="Times New Roman" w:hAnsi="Times New Roman" w:cs="Times New Roman"/>
                <w:sz w:val="18"/>
              </w:rPr>
              <w:t>100,0</w:t>
            </w:r>
          </w:p>
        </w:tc>
      </w:tr>
      <w:tr w:rsidR="00C36434">
        <w:tc>
          <w:tcPr>
            <w:tcW w:w="2500" w:type="pct"/>
            <w:vAlign w:val="bottom"/>
          </w:tcPr>
          <w:p w:rsidR="00C36434" w:rsidRDefault="00F03B32">
            <w:pPr>
              <w:spacing w:after="0" w:line="240" w:lineRule="auto"/>
            </w:pPr>
            <w:r>
              <w:rPr>
                <w:rFonts w:ascii="Times New Roman" w:hAnsi="Times New Roman" w:cs="Times New Roman"/>
                <w:sz w:val="18"/>
              </w:rPr>
              <w:t>PRIJENOS SREDSTAVA U SLJEDEĆU GODINU</w:t>
            </w:r>
          </w:p>
        </w:tc>
        <w:tc>
          <w:tcPr>
            <w:tcW w:w="1000" w:type="pct"/>
            <w:vAlign w:val="bottom"/>
          </w:tcPr>
          <w:p w:rsidR="00C36434" w:rsidRDefault="00F03B32">
            <w:pPr>
              <w:spacing w:after="0" w:line="240" w:lineRule="auto"/>
              <w:jc w:val="right"/>
            </w:pPr>
            <w:r>
              <w:rPr>
                <w:rFonts w:ascii="Times New Roman" w:hAnsi="Times New Roman" w:cs="Times New Roman"/>
                <w:sz w:val="18"/>
              </w:rPr>
              <w:t>-109.219.796</w:t>
            </w:r>
          </w:p>
        </w:tc>
        <w:tc>
          <w:tcPr>
            <w:tcW w:w="800" w:type="pct"/>
            <w:vAlign w:val="bottom"/>
          </w:tcPr>
          <w:p w:rsidR="00C36434" w:rsidRDefault="00F03B32">
            <w:pPr>
              <w:spacing w:after="0" w:line="240" w:lineRule="auto"/>
              <w:jc w:val="right"/>
            </w:pPr>
            <w:r>
              <w:rPr>
                <w:rFonts w:ascii="Times New Roman" w:hAnsi="Times New Roman" w:cs="Times New Roman"/>
                <w:sz w:val="18"/>
              </w:rPr>
              <w:t>-119.991.332</w:t>
            </w:r>
          </w:p>
        </w:tc>
        <w:tc>
          <w:tcPr>
            <w:tcW w:w="800" w:type="pct"/>
            <w:vAlign w:val="bottom"/>
          </w:tcPr>
          <w:p w:rsidR="00C36434" w:rsidRDefault="00F03B32">
            <w:pPr>
              <w:spacing w:after="0" w:line="240" w:lineRule="auto"/>
              <w:jc w:val="right"/>
            </w:pPr>
            <w:r>
              <w:rPr>
                <w:rFonts w:ascii="Times New Roman" w:hAnsi="Times New Roman" w:cs="Times New Roman"/>
                <w:sz w:val="18"/>
              </w:rPr>
              <w:t>109,9</w:t>
            </w:r>
          </w:p>
        </w:tc>
      </w:tr>
      <w:tr w:rsidR="00C36434">
        <w:tc>
          <w:tcPr>
            <w:tcW w:w="2500" w:type="pct"/>
            <w:vAlign w:val="bottom"/>
          </w:tcPr>
          <w:p w:rsidR="00C36434" w:rsidRDefault="00F03B32">
            <w:pPr>
              <w:spacing w:after="0" w:line="240" w:lineRule="auto"/>
            </w:pPr>
            <w:r>
              <w:rPr>
                <w:rFonts w:ascii="Times New Roman" w:hAnsi="Times New Roman" w:cs="Times New Roman"/>
                <w:sz w:val="18"/>
              </w:rPr>
              <w:t>NETO FINANCIRANJE</w:t>
            </w:r>
          </w:p>
        </w:tc>
        <w:tc>
          <w:tcPr>
            <w:tcW w:w="1000" w:type="pct"/>
            <w:vAlign w:val="bottom"/>
          </w:tcPr>
          <w:p w:rsidR="00C36434" w:rsidRDefault="00F03B32">
            <w:pPr>
              <w:spacing w:after="0" w:line="240" w:lineRule="auto"/>
              <w:jc w:val="right"/>
            </w:pPr>
            <w:r>
              <w:rPr>
                <w:rFonts w:ascii="Times New Roman" w:hAnsi="Times New Roman" w:cs="Times New Roman"/>
                <w:sz w:val="18"/>
              </w:rPr>
              <w:t>-9.654.768</w:t>
            </w:r>
          </w:p>
        </w:tc>
        <w:tc>
          <w:tcPr>
            <w:tcW w:w="800" w:type="pct"/>
            <w:vAlign w:val="bottom"/>
          </w:tcPr>
          <w:p w:rsidR="00C36434" w:rsidRDefault="00F03B32">
            <w:pPr>
              <w:spacing w:after="0" w:line="240" w:lineRule="auto"/>
              <w:jc w:val="right"/>
            </w:pPr>
            <w:r>
              <w:rPr>
                <w:rFonts w:ascii="Times New Roman" w:hAnsi="Times New Roman" w:cs="Times New Roman"/>
                <w:sz w:val="18"/>
              </w:rPr>
              <w:t>-19.776.016</w:t>
            </w:r>
          </w:p>
        </w:tc>
        <w:tc>
          <w:tcPr>
            <w:tcW w:w="800" w:type="pct"/>
            <w:vAlign w:val="bottom"/>
          </w:tcPr>
          <w:p w:rsidR="00C36434" w:rsidRDefault="00F03B32">
            <w:pPr>
              <w:spacing w:after="0" w:line="240" w:lineRule="auto"/>
              <w:jc w:val="right"/>
            </w:pPr>
            <w:r>
              <w:rPr>
                <w:rFonts w:ascii="Times New Roman" w:hAnsi="Times New Roman" w:cs="Times New Roman"/>
                <w:sz w:val="18"/>
              </w:rPr>
              <w:t>204,8</w:t>
            </w:r>
          </w:p>
        </w:tc>
      </w:tr>
      <w:tr w:rsidR="00C36434">
        <w:tc>
          <w:tcPr>
            <w:tcW w:w="2500" w:type="pct"/>
            <w:vAlign w:val="bottom"/>
          </w:tcPr>
          <w:p w:rsidR="00C36434" w:rsidRDefault="00F03B32">
            <w:pPr>
              <w:spacing w:after="0" w:line="240" w:lineRule="auto"/>
            </w:pPr>
            <w:r>
              <w:rPr>
                <w:rFonts w:ascii="Times New Roman" w:hAnsi="Times New Roman" w:cs="Times New Roman"/>
                <w:b/>
                <w:sz w:val="18"/>
              </w:rPr>
              <w:t>VIŠAK/MANJAK + NETO FINANCIRANJE</w:t>
            </w:r>
          </w:p>
        </w:tc>
        <w:tc>
          <w:tcPr>
            <w:tcW w:w="1000" w:type="pct"/>
            <w:vAlign w:val="bottom"/>
          </w:tcPr>
          <w:p w:rsidR="00C36434" w:rsidRDefault="00F03B32">
            <w:pPr>
              <w:spacing w:after="0" w:line="240" w:lineRule="auto"/>
              <w:jc w:val="right"/>
            </w:pPr>
            <w:r>
              <w:rPr>
                <w:rFonts w:ascii="Times New Roman" w:hAnsi="Times New Roman" w:cs="Times New Roman"/>
                <w:b/>
                <w:sz w:val="18"/>
              </w:rPr>
              <w:t>0</w:t>
            </w:r>
          </w:p>
        </w:tc>
        <w:tc>
          <w:tcPr>
            <w:tcW w:w="800" w:type="pct"/>
            <w:vAlign w:val="bottom"/>
          </w:tcPr>
          <w:p w:rsidR="00C36434" w:rsidRDefault="00F03B32">
            <w:pPr>
              <w:spacing w:after="0" w:line="240" w:lineRule="auto"/>
              <w:jc w:val="right"/>
            </w:pPr>
            <w:r>
              <w:rPr>
                <w:rFonts w:ascii="Times New Roman" w:hAnsi="Times New Roman" w:cs="Times New Roman"/>
                <w:b/>
                <w:sz w:val="18"/>
              </w:rPr>
              <w:t>0</w:t>
            </w:r>
          </w:p>
        </w:tc>
        <w:tc>
          <w:tcPr>
            <w:tcW w:w="800" w:type="pct"/>
            <w:vAlign w:val="bottom"/>
          </w:tcPr>
          <w:p w:rsidR="00C36434" w:rsidRDefault="00C36434">
            <w:pPr>
              <w:spacing w:after="0" w:line="240" w:lineRule="auto"/>
              <w:jc w:val="right"/>
            </w:pP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U 2025. g</w:t>
      </w:r>
      <w:r w:rsidR="00861B23">
        <w:rPr>
          <w:rFonts w:ascii="Times New Roman" w:hAnsi="Times New Roman" w:cs="Times New Roman"/>
          <w:sz w:val="24"/>
        </w:rPr>
        <w:t>odini</w:t>
      </w:r>
      <w:r>
        <w:rPr>
          <w:rFonts w:ascii="Times New Roman" w:hAnsi="Times New Roman" w:cs="Times New Roman"/>
          <w:sz w:val="24"/>
        </w:rPr>
        <w:t xml:space="preserve"> HŽ INFRASTRUKTURA d.o.o. ostvarila je ukupne prihode u iznosu od </w:t>
      </w:r>
      <w:r w:rsidR="00D463A7">
        <w:rPr>
          <w:rFonts w:ascii="Times New Roman" w:hAnsi="Times New Roman" w:cs="Times New Roman"/>
          <w:sz w:val="24"/>
        </w:rPr>
        <w:t>550.755.384,49 EUR</w:t>
      </w:r>
      <w:r>
        <w:rPr>
          <w:rFonts w:ascii="Times New Roman" w:hAnsi="Times New Roman" w:cs="Times New Roman"/>
          <w:sz w:val="24"/>
        </w:rPr>
        <w:t xml:space="preserve"> ili </w:t>
      </w:r>
      <w:r w:rsidR="00D463A7">
        <w:rPr>
          <w:rFonts w:ascii="Times New Roman" w:hAnsi="Times New Roman" w:cs="Times New Roman"/>
          <w:sz w:val="24"/>
        </w:rPr>
        <w:t>99,1</w:t>
      </w:r>
      <w:r w:rsidR="00391DBB">
        <w:rPr>
          <w:rFonts w:ascii="Times New Roman" w:hAnsi="Times New Roman" w:cs="Times New Roman"/>
          <w:sz w:val="24"/>
        </w:rPr>
        <w:t>3</w:t>
      </w:r>
      <w:r>
        <w:rPr>
          <w:rFonts w:ascii="Times New Roman" w:hAnsi="Times New Roman" w:cs="Times New Roman"/>
          <w:sz w:val="24"/>
        </w:rPr>
        <w:t xml:space="preserve">% planiranih, odnosno ukupne rashode u iznosu od 530.979.368,47 EUR što je na razini 97,27% planiranih sredstava. Razlika ostvarenih ukupnih prihoda i ukupnih rashoda iskazana je kao višak u iznosu </w:t>
      </w:r>
      <w:r w:rsidR="003D371D">
        <w:rPr>
          <w:rFonts w:ascii="Times New Roman" w:hAnsi="Times New Roman" w:cs="Times New Roman"/>
          <w:sz w:val="24"/>
        </w:rPr>
        <w:t>19.776.016,02</w:t>
      </w:r>
      <w:r>
        <w:rPr>
          <w:rFonts w:ascii="Times New Roman" w:hAnsi="Times New Roman" w:cs="Times New Roman"/>
          <w:sz w:val="24"/>
        </w:rPr>
        <w:t xml:space="preserve"> EUR. </w:t>
      </w:r>
    </w:p>
    <w:p w:rsidR="00C36434" w:rsidRDefault="00F03B32">
      <w:pPr>
        <w:spacing w:line="240" w:lineRule="auto"/>
        <w:jc w:val="both"/>
      </w:pPr>
      <w:r>
        <w:rPr>
          <w:rFonts w:ascii="Times New Roman" w:hAnsi="Times New Roman" w:cs="Times New Roman"/>
          <w:sz w:val="24"/>
        </w:rPr>
        <w:t xml:space="preserve">HŽ INFRASTRUKTURA je 2025. </w:t>
      </w:r>
      <w:r w:rsidR="00D07411">
        <w:rPr>
          <w:rFonts w:ascii="Times New Roman" w:hAnsi="Times New Roman" w:cs="Times New Roman"/>
          <w:sz w:val="24"/>
        </w:rPr>
        <w:t>godin</w:t>
      </w:r>
      <w:r w:rsidR="00A37679">
        <w:rPr>
          <w:rFonts w:ascii="Times New Roman" w:hAnsi="Times New Roman" w:cs="Times New Roman"/>
          <w:sz w:val="24"/>
        </w:rPr>
        <w:t>e</w:t>
      </w:r>
      <w:r>
        <w:rPr>
          <w:rFonts w:ascii="Times New Roman" w:hAnsi="Times New Roman" w:cs="Times New Roman"/>
          <w:sz w:val="24"/>
        </w:rPr>
        <w:t xml:space="preserve"> ostvarila 30.000.000,00 EUR primitaka od zaduživanja iz kredita kreditnih institucija izvan javnog sektora. Pored toga, ostvareno je i 25.000.000,00 EUR primitaka za dionice i udjele u glavnici trgovačkih društava u javnom sektoru. S obzirom na plan, ostvareno je 100,00% planiranih primitaka od zaduženja. </w:t>
      </w:r>
    </w:p>
    <w:p w:rsidR="00C36434" w:rsidRDefault="00F03B32">
      <w:pPr>
        <w:spacing w:line="240" w:lineRule="auto"/>
        <w:jc w:val="both"/>
      </w:pPr>
      <w:r>
        <w:rPr>
          <w:rFonts w:ascii="Times New Roman" w:hAnsi="Times New Roman" w:cs="Times New Roman"/>
          <w:sz w:val="24"/>
        </w:rPr>
        <w:t xml:space="preserve">Izdaci za otplatu glavnice primljenih kredita i zajmova iznose </w:t>
      </w:r>
      <w:r w:rsidR="00A37679">
        <w:rPr>
          <w:rFonts w:ascii="Times New Roman" w:hAnsi="Times New Roman" w:cs="Times New Roman"/>
          <w:sz w:val="24"/>
        </w:rPr>
        <w:t>48.425.734,3</w:t>
      </w:r>
      <w:r w:rsidR="00144263">
        <w:rPr>
          <w:rFonts w:ascii="Times New Roman" w:hAnsi="Times New Roman" w:cs="Times New Roman"/>
          <w:sz w:val="24"/>
        </w:rPr>
        <w:t>1</w:t>
      </w:r>
      <w:r>
        <w:rPr>
          <w:rFonts w:ascii="Times New Roman" w:hAnsi="Times New Roman" w:cs="Times New Roman"/>
          <w:sz w:val="24"/>
        </w:rPr>
        <w:t xml:space="preserve"> EUR, od čega se 5.074.214,00 odnosi</w:t>
      </w:r>
      <w:r w:rsidR="00144263">
        <w:rPr>
          <w:rFonts w:ascii="Times New Roman" w:hAnsi="Times New Roman" w:cs="Times New Roman"/>
          <w:sz w:val="24"/>
        </w:rPr>
        <w:t xml:space="preserve"> na otplatu glavnice EBRD zajma</w:t>
      </w:r>
      <w:r>
        <w:rPr>
          <w:rFonts w:ascii="Times New Roman" w:hAnsi="Times New Roman" w:cs="Times New Roman"/>
          <w:sz w:val="24"/>
        </w:rPr>
        <w:t xml:space="preserve"> te 43.351.520,31 EUR na otplatu glavnice </w:t>
      </w:r>
      <w:r w:rsidR="00144263">
        <w:rPr>
          <w:rFonts w:ascii="Times New Roman" w:hAnsi="Times New Roman" w:cs="Times New Roman"/>
          <w:sz w:val="24"/>
        </w:rPr>
        <w:t xml:space="preserve">primljenih </w:t>
      </w:r>
      <w:r>
        <w:rPr>
          <w:rFonts w:ascii="Times New Roman" w:hAnsi="Times New Roman" w:cs="Times New Roman"/>
          <w:sz w:val="24"/>
        </w:rPr>
        <w:t>kredita</w:t>
      </w:r>
      <w:r w:rsidR="00144263">
        <w:rPr>
          <w:rFonts w:ascii="Times New Roman" w:hAnsi="Times New Roman" w:cs="Times New Roman"/>
          <w:sz w:val="24"/>
        </w:rPr>
        <w:t xml:space="preserve"> od tuzemnih kreditnih institucija</w:t>
      </w:r>
      <w:r w:rsidR="003D16FF">
        <w:rPr>
          <w:rFonts w:ascii="Times New Roman" w:hAnsi="Times New Roman" w:cs="Times New Roman"/>
          <w:sz w:val="24"/>
        </w:rPr>
        <w:t xml:space="preserve"> izvan javnog sektora,</w:t>
      </w:r>
      <w:r w:rsidR="009349D3">
        <w:rPr>
          <w:rFonts w:ascii="Times New Roman" w:hAnsi="Times New Roman" w:cs="Times New Roman"/>
          <w:sz w:val="24"/>
        </w:rPr>
        <w:t xml:space="preserve"> a</w:t>
      </w:r>
      <w:r w:rsidR="003D16FF">
        <w:rPr>
          <w:rFonts w:ascii="Times New Roman" w:hAnsi="Times New Roman" w:cs="Times New Roman"/>
          <w:sz w:val="24"/>
        </w:rPr>
        <w:t xml:space="preserve"> </w:t>
      </w:r>
      <w:r>
        <w:rPr>
          <w:rFonts w:ascii="Times New Roman" w:hAnsi="Times New Roman" w:cs="Times New Roman"/>
          <w:sz w:val="24"/>
        </w:rPr>
        <w:t xml:space="preserve">ostvareni </w:t>
      </w:r>
      <w:r w:rsidR="009349D3">
        <w:rPr>
          <w:rFonts w:ascii="Times New Roman" w:hAnsi="Times New Roman" w:cs="Times New Roman"/>
          <w:sz w:val="24"/>
        </w:rPr>
        <w:t xml:space="preserve">su </w:t>
      </w:r>
      <w:r>
        <w:rPr>
          <w:rFonts w:ascii="Times New Roman" w:hAnsi="Times New Roman" w:cs="Times New Roman"/>
          <w:sz w:val="24"/>
        </w:rPr>
        <w:t>na razini od 100,00% planiranih sredstava.</w:t>
      </w:r>
    </w:p>
    <w:p w:rsidR="008C01E2" w:rsidRDefault="00F03B32" w:rsidP="008C01E2">
      <w:pPr>
        <w:spacing w:line="240" w:lineRule="auto"/>
        <w:jc w:val="both"/>
      </w:pPr>
      <w:r>
        <w:rPr>
          <w:rFonts w:ascii="Times New Roman" w:hAnsi="Times New Roman" w:cs="Times New Roman"/>
          <w:sz w:val="24"/>
        </w:rPr>
        <w:t>Izdaci za ulaganja u dionice i udjele u glavnici trgovačkih društava u javnom sektoru ostvareni su u visini 17.243.498,38 EUR što čini 99,27% planiranih izdataka. </w:t>
      </w:r>
    </w:p>
    <w:p w:rsidR="008C01E2" w:rsidRPr="00AC6918" w:rsidRDefault="008C01E2" w:rsidP="008C01E2">
      <w:pPr>
        <w:spacing w:line="240" w:lineRule="auto"/>
        <w:jc w:val="both"/>
        <w:rPr>
          <w:rFonts w:ascii="Times New Roman" w:hAnsi="Times New Roman" w:cs="Times New Roman"/>
          <w:b/>
          <w:sz w:val="16"/>
          <w:u w:val="single"/>
        </w:rPr>
      </w:pPr>
    </w:p>
    <w:p w:rsidR="00C36434" w:rsidRDefault="00F03B32" w:rsidP="008C01E2">
      <w:pPr>
        <w:spacing w:line="240" w:lineRule="auto"/>
        <w:jc w:val="both"/>
      </w:pPr>
      <w:r>
        <w:rPr>
          <w:rFonts w:ascii="Times New Roman" w:hAnsi="Times New Roman" w:cs="Times New Roman"/>
          <w:b/>
          <w:sz w:val="24"/>
          <w:u w:val="single"/>
        </w:rPr>
        <w:t>PRIJENOS SREDSTAVA</w:t>
      </w:r>
    </w:p>
    <w:p w:rsidR="007139EC" w:rsidRDefault="00F03B32" w:rsidP="00DE47BC">
      <w:pPr>
        <w:spacing w:line="240" w:lineRule="auto"/>
        <w:jc w:val="both"/>
      </w:pPr>
      <w:r>
        <w:rPr>
          <w:rFonts w:ascii="Times New Roman" w:hAnsi="Times New Roman" w:cs="Times New Roman"/>
          <w:sz w:val="24"/>
        </w:rPr>
        <w:t>Prijenos sredstava iz prethodne godine iznosi 110.884.548,</w:t>
      </w:r>
      <w:r w:rsidR="00377322">
        <w:rPr>
          <w:rFonts w:ascii="Times New Roman" w:hAnsi="Times New Roman" w:cs="Times New Roman"/>
          <w:sz w:val="24"/>
        </w:rPr>
        <w:t>21</w:t>
      </w:r>
      <w:r>
        <w:rPr>
          <w:rFonts w:ascii="Times New Roman" w:hAnsi="Times New Roman" w:cs="Times New Roman"/>
          <w:sz w:val="24"/>
        </w:rPr>
        <w:t xml:space="preserve"> EUR i najvećim dijelom odnosi</w:t>
      </w:r>
      <w:r w:rsidR="00D07411">
        <w:rPr>
          <w:rFonts w:ascii="Times New Roman" w:hAnsi="Times New Roman" w:cs="Times New Roman"/>
          <w:sz w:val="24"/>
        </w:rPr>
        <w:t xml:space="preserve"> </w:t>
      </w:r>
      <w:r>
        <w:rPr>
          <w:rFonts w:ascii="Times New Roman" w:hAnsi="Times New Roman" w:cs="Times New Roman"/>
          <w:sz w:val="24"/>
        </w:rPr>
        <w:t>se na sredstva na računima za posebne namjene za projekte. Prijenos novčanih sredstava u sljedeće razdoblje na dan 31.12.2025.</w:t>
      </w:r>
      <w:r w:rsidR="00792483" w:rsidRPr="00792483">
        <w:rPr>
          <w:rFonts w:ascii="Times New Roman" w:hAnsi="Times New Roman" w:cs="Times New Roman"/>
          <w:sz w:val="24"/>
        </w:rPr>
        <w:t xml:space="preserve"> </w:t>
      </w:r>
      <w:r w:rsidR="00792483">
        <w:rPr>
          <w:rFonts w:ascii="Times New Roman" w:hAnsi="Times New Roman" w:cs="Times New Roman"/>
          <w:sz w:val="24"/>
        </w:rPr>
        <w:t>godine</w:t>
      </w:r>
      <w:r>
        <w:rPr>
          <w:rFonts w:ascii="Times New Roman" w:hAnsi="Times New Roman" w:cs="Times New Roman"/>
          <w:sz w:val="24"/>
        </w:rPr>
        <w:t xml:space="preserve"> iznosi 115.597.829,68 EUR od čega se 89,17% odnosi na sredstva na računima za posebne namjene (investicijski projekti), 5,07% na </w:t>
      </w:r>
      <w:r>
        <w:rPr>
          <w:rFonts w:ascii="Times New Roman" w:hAnsi="Times New Roman" w:cs="Times New Roman"/>
          <w:sz w:val="24"/>
        </w:rPr>
        <w:lastRenderedPageBreak/>
        <w:t>povučena sredstva iz kredita (EBRD i revolving kredit) i 5,76% na sredstva po računima za redovno poslovanje.</w:t>
      </w:r>
    </w:p>
    <w:p w:rsidR="00DE47BC" w:rsidRPr="00DE47BC" w:rsidRDefault="00DE47BC" w:rsidP="00DE47BC">
      <w:pPr>
        <w:spacing w:line="240" w:lineRule="auto"/>
        <w:jc w:val="both"/>
      </w:pPr>
    </w:p>
    <w:p w:rsidR="00C36434" w:rsidRDefault="00F03B32">
      <w:pPr>
        <w:spacing w:line="360" w:lineRule="auto"/>
      </w:pPr>
      <w:r>
        <w:rPr>
          <w:rFonts w:ascii="Times New Roman" w:hAnsi="Times New Roman" w:cs="Times New Roman"/>
          <w:b/>
          <w:sz w:val="24"/>
          <w:u w:val="single"/>
        </w:rPr>
        <w:t>POSEBNI DIO</w:t>
      </w:r>
    </w:p>
    <w:p w:rsidR="00C36434" w:rsidRDefault="00F03B32">
      <w:pPr>
        <w:spacing w:line="240" w:lineRule="auto"/>
      </w:pPr>
      <w:r>
        <w:rPr>
          <w:rFonts w:ascii="Times New Roman" w:hAnsi="Times New Roman" w:cs="Times New Roman"/>
          <w:b/>
          <w:u w:val="single"/>
        </w:rPr>
        <w:br/>
        <w:t>1100 ADMINISTRATIVNO UPRAVLJANJE I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1100</w:t>
            </w:r>
          </w:p>
        </w:tc>
        <w:tc>
          <w:tcPr>
            <w:tcW w:w="690" w:type="pct"/>
            <w:vAlign w:val="bottom"/>
          </w:tcPr>
          <w:p w:rsidR="00C36434" w:rsidRDefault="00F03B32">
            <w:pPr>
              <w:spacing w:after="0" w:line="240" w:lineRule="auto"/>
              <w:jc w:val="right"/>
            </w:pPr>
            <w:r>
              <w:rPr>
                <w:rFonts w:ascii="Times New Roman" w:hAnsi="Times New Roman" w:cs="Times New Roman"/>
                <w:sz w:val="18"/>
              </w:rPr>
              <w:t>208.336.663</w:t>
            </w:r>
          </w:p>
        </w:tc>
        <w:tc>
          <w:tcPr>
            <w:tcW w:w="690" w:type="pct"/>
            <w:vAlign w:val="bottom"/>
          </w:tcPr>
          <w:p w:rsidR="00C36434" w:rsidRDefault="00F03B32">
            <w:pPr>
              <w:spacing w:after="0" w:line="240" w:lineRule="auto"/>
              <w:jc w:val="right"/>
            </w:pPr>
            <w:r>
              <w:rPr>
                <w:rFonts w:ascii="Times New Roman" w:hAnsi="Times New Roman" w:cs="Times New Roman"/>
                <w:sz w:val="18"/>
              </w:rPr>
              <w:t>249.089.400</w:t>
            </w:r>
          </w:p>
        </w:tc>
        <w:tc>
          <w:tcPr>
            <w:tcW w:w="690" w:type="pct"/>
            <w:vAlign w:val="bottom"/>
          </w:tcPr>
          <w:p w:rsidR="00C36434" w:rsidRDefault="00F03B32">
            <w:pPr>
              <w:spacing w:after="0" w:line="240" w:lineRule="auto"/>
              <w:jc w:val="right"/>
            </w:pPr>
            <w:r>
              <w:rPr>
                <w:rFonts w:ascii="Times New Roman" w:hAnsi="Times New Roman" w:cs="Times New Roman"/>
                <w:sz w:val="18"/>
              </w:rPr>
              <w:t>262.873.090</w:t>
            </w:r>
          </w:p>
        </w:tc>
        <w:tc>
          <w:tcPr>
            <w:tcW w:w="690" w:type="pct"/>
            <w:vAlign w:val="bottom"/>
          </w:tcPr>
          <w:p w:rsidR="00C36434" w:rsidRDefault="00F03B32">
            <w:pPr>
              <w:spacing w:after="0" w:line="240" w:lineRule="auto"/>
              <w:jc w:val="right"/>
            </w:pPr>
            <w:r>
              <w:rPr>
                <w:rFonts w:ascii="Times New Roman" w:hAnsi="Times New Roman" w:cs="Times New Roman"/>
                <w:sz w:val="18"/>
              </w:rPr>
              <w:t>126,2</w:t>
            </w:r>
          </w:p>
        </w:tc>
        <w:tc>
          <w:tcPr>
            <w:tcW w:w="690" w:type="pct"/>
            <w:vAlign w:val="bottom"/>
          </w:tcPr>
          <w:p w:rsidR="00C36434" w:rsidRDefault="00F03B32">
            <w:pPr>
              <w:spacing w:after="0" w:line="240" w:lineRule="auto"/>
              <w:jc w:val="right"/>
            </w:pPr>
            <w:r>
              <w:rPr>
                <w:rFonts w:ascii="Times New Roman" w:hAnsi="Times New Roman" w:cs="Times New Roman"/>
                <w:sz w:val="18"/>
              </w:rPr>
              <w:t>105,5</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Ovim programom se osigurava financiranje redovnih aktivnosti održavanja željezničke infrastrukture, reguliranje prometa i upravljanje željezničkom infrastrukturom s ciljem dugoročne održivosti poslovanja te kontinuiranom održavanju likvidnosti, solventnosti i financijske stabilnosti, a sve u svrhu podizanja efikasnosti hrvatskog željezničkog sustava.</w:t>
      </w:r>
    </w:p>
    <w:p w:rsidR="00C36434" w:rsidRDefault="00F03B32">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Pravovremeno ispunjavanje obveza vezanih za redovni segment poslovanja</w:t>
      </w:r>
    </w:p>
    <w:p w:rsidR="00C36434" w:rsidRDefault="00F03B32">
      <w:pPr>
        <w:spacing w:line="240" w:lineRule="auto"/>
      </w:pPr>
      <w:r>
        <w:rPr>
          <w:rFonts w:ascii="Times New Roman" w:hAnsi="Times New Roman" w:cs="Times New Roman"/>
          <w:b/>
          <w:sz w:val="24"/>
          <w:u w:val="single"/>
        </w:rPr>
        <w:br/>
        <w:t>Opis provedbe cilja programa</w:t>
      </w:r>
    </w:p>
    <w:p w:rsidR="00C36434" w:rsidRDefault="00F03B32">
      <w:pPr>
        <w:spacing w:line="240" w:lineRule="auto"/>
        <w:jc w:val="both"/>
      </w:pPr>
      <w:r>
        <w:rPr>
          <w:rFonts w:ascii="Times New Roman" w:hAnsi="Times New Roman" w:cs="Times New Roman"/>
          <w:sz w:val="24"/>
        </w:rPr>
        <w:t>Održavanje ekonomske i financijske održivosti poslovanja osnovni je preduvjet za daljnji razvoj željezničkog prometa. Svake godine između resornog ministarstva i HŽ INFRASTRUKTURE d.o.o. sklapa se Ugovor o međusobnim pravima  i obvezama u vezi s financiranjem upravljanja željezničkom infrastrukturom u širem smislu s ciljem podmirenja troškova vezanih za taj segment redovnog poslovanja. Doznačena sredstva su utrošena na podmirenje obveza za redovni segment poslovanja.</w:t>
      </w:r>
    </w:p>
    <w:p w:rsidR="00C36434" w:rsidRDefault="00F03B32">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Održivost poslovanja</w:t>
            </w:r>
          </w:p>
        </w:tc>
        <w:tc>
          <w:tcPr>
            <w:tcW w:w="550" w:type="pct"/>
            <w:vAlign w:val="center"/>
          </w:tcPr>
          <w:p w:rsidR="00C36434" w:rsidRDefault="00F03B32">
            <w:pPr>
              <w:spacing w:after="0" w:line="240" w:lineRule="auto"/>
              <w:jc w:val="center"/>
            </w:pPr>
            <w:r>
              <w:rPr>
                <w:rFonts w:ascii="Times New Roman" w:hAnsi="Times New Roman" w:cs="Times New Roman"/>
                <w:sz w:val="18"/>
              </w:rPr>
              <w:t>Održavanje ekonomske i socijalne stabilnosti poslovanja</w:t>
            </w:r>
          </w:p>
        </w:tc>
        <w:tc>
          <w:tcPr>
            <w:tcW w:w="550" w:type="pct"/>
            <w:vAlign w:val="center"/>
          </w:tcPr>
          <w:p w:rsidR="00C36434" w:rsidRDefault="00F03B32">
            <w:pPr>
              <w:spacing w:after="0" w:line="240" w:lineRule="auto"/>
              <w:jc w:val="center"/>
            </w:pPr>
            <w:r>
              <w:rPr>
                <w:rFonts w:ascii="Times New Roman" w:hAnsi="Times New Roman" w:cs="Times New Roman"/>
                <w:sz w:val="18"/>
              </w:rPr>
              <w:t>%</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Default="00E83122">
            <w:pPr>
              <w:spacing w:after="0" w:line="240" w:lineRule="auto"/>
              <w:jc w:val="right"/>
            </w:pPr>
            <w:r>
              <w:rPr>
                <w:rFonts w:ascii="Times New Roman" w:hAnsi="Times New Roman" w:cs="Times New Roman"/>
                <w:sz w:val="18"/>
              </w:rPr>
              <w:t>100,0</w:t>
            </w:r>
          </w:p>
        </w:tc>
      </w:tr>
    </w:tbl>
    <w:p w:rsidR="00C36434" w:rsidRDefault="00C36434">
      <w:pPr>
        <w:spacing w:after="0" w:line="240" w:lineRule="auto"/>
      </w:pPr>
    </w:p>
    <w:p w:rsidR="007636B4" w:rsidRDefault="007636B4">
      <w:pPr>
        <w:spacing w:line="240" w:lineRule="auto"/>
        <w:rPr>
          <w:rFonts w:ascii="Times New Roman" w:hAnsi="Times New Roman" w:cs="Times New Roman"/>
          <w:b/>
          <w:u w:val="single"/>
        </w:rPr>
      </w:pPr>
    </w:p>
    <w:p w:rsidR="00C36434" w:rsidRDefault="00F03B32">
      <w:pPr>
        <w:spacing w:line="240" w:lineRule="auto"/>
      </w:pPr>
      <w:r>
        <w:rPr>
          <w:rFonts w:ascii="Times New Roman" w:hAnsi="Times New Roman" w:cs="Times New Roman"/>
          <w:b/>
          <w:u w:val="single"/>
        </w:rPr>
        <w:t xml:space="preserve">A110000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A110000</w:t>
            </w:r>
          </w:p>
        </w:tc>
        <w:tc>
          <w:tcPr>
            <w:tcW w:w="690" w:type="pct"/>
            <w:vAlign w:val="bottom"/>
          </w:tcPr>
          <w:p w:rsidR="00C36434" w:rsidRDefault="00F03B32">
            <w:pPr>
              <w:spacing w:after="0" w:line="240" w:lineRule="auto"/>
              <w:jc w:val="right"/>
            </w:pPr>
            <w:r>
              <w:rPr>
                <w:rFonts w:ascii="Times New Roman" w:hAnsi="Times New Roman" w:cs="Times New Roman"/>
                <w:sz w:val="18"/>
              </w:rPr>
              <w:t>196.766.698</w:t>
            </w:r>
          </w:p>
        </w:tc>
        <w:tc>
          <w:tcPr>
            <w:tcW w:w="690" w:type="pct"/>
            <w:vAlign w:val="bottom"/>
          </w:tcPr>
          <w:p w:rsidR="00C36434" w:rsidRDefault="00F03B32">
            <w:pPr>
              <w:spacing w:after="0" w:line="240" w:lineRule="auto"/>
              <w:jc w:val="right"/>
            </w:pPr>
            <w:r>
              <w:rPr>
                <w:rFonts w:ascii="Times New Roman" w:hAnsi="Times New Roman" w:cs="Times New Roman"/>
                <w:sz w:val="18"/>
              </w:rPr>
              <w:t>238.188.000</w:t>
            </w:r>
          </w:p>
        </w:tc>
        <w:tc>
          <w:tcPr>
            <w:tcW w:w="690" w:type="pct"/>
            <w:vAlign w:val="bottom"/>
          </w:tcPr>
          <w:p w:rsidR="00C36434" w:rsidRDefault="00F03B32">
            <w:pPr>
              <w:spacing w:after="0" w:line="240" w:lineRule="auto"/>
              <w:jc w:val="right"/>
            </w:pPr>
            <w:r>
              <w:rPr>
                <w:rFonts w:ascii="Times New Roman" w:hAnsi="Times New Roman" w:cs="Times New Roman"/>
                <w:sz w:val="18"/>
              </w:rPr>
              <w:t>249.625.022</w:t>
            </w:r>
          </w:p>
        </w:tc>
        <w:tc>
          <w:tcPr>
            <w:tcW w:w="690" w:type="pct"/>
            <w:vAlign w:val="bottom"/>
          </w:tcPr>
          <w:p w:rsidR="00C36434" w:rsidRDefault="00F03B32">
            <w:pPr>
              <w:spacing w:after="0" w:line="240" w:lineRule="auto"/>
              <w:jc w:val="right"/>
            </w:pPr>
            <w:r>
              <w:rPr>
                <w:rFonts w:ascii="Times New Roman" w:hAnsi="Times New Roman" w:cs="Times New Roman"/>
                <w:sz w:val="18"/>
              </w:rPr>
              <w:t>126,9</w:t>
            </w:r>
          </w:p>
        </w:tc>
        <w:tc>
          <w:tcPr>
            <w:tcW w:w="690" w:type="pct"/>
            <w:vAlign w:val="bottom"/>
          </w:tcPr>
          <w:p w:rsidR="00C36434" w:rsidRDefault="00F03B32">
            <w:pPr>
              <w:spacing w:after="0" w:line="240" w:lineRule="auto"/>
              <w:jc w:val="right"/>
            </w:pPr>
            <w:r>
              <w:rPr>
                <w:rFonts w:ascii="Times New Roman" w:hAnsi="Times New Roman" w:cs="Times New Roman"/>
                <w:sz w:val="18"/>
              </w:rPr>
              <w:t>104,8</w:t>
            </w:r>
          </w:p>
        </w:tc>
      </w:tr>
    </w:tbl>
    <w:p w:rsidR="006E4117" w:rsidRDefault="006E4117" w:rsidP="006E4117">
      <w:pPr>
        <w:spacing w:after="0" w:line="240" w:lineRule="auto"/>
        <w:jc w:val="both"/>
        <w:rPr>
          <w:rFonts w:ascii="Times New Roman" w:hAnsi="Times New Roman" w:cs="Times New Roman"/>
          <w:sz w:val="24"/>
        </w:rPr>
      </w:pPr>
    </w:p>
    <w:p w:rsidR="00C36434" w:rsidRDefault="00F03B32">
      <w:pPr>
        <w:spacing w:line="240" w:lineRule="auto"/>
        <w:jc w:val="both"/>
      </w:pPr>
      <w:r>
        <w:rPr>
          <w:rFonts w:ascii="Times New Roman" w:hAnsi="Times New Roman" w:cs="Times New Roman"/>
          <w:sz w:val="24"/>
        </w:rPr>
        <w:t xml:space="preserve">Rashodi za administraciju i upravljanje u 2025. godini iznose 232.381.523,63 EUR i u odnosu na plan za 2025. godinu veći su za 5,24%. Rashodi za administraciju i upravljanje obuhvaćaju poslovne rashode vezane za održavanje željezničke infrastrukture i za upravljanje, organizaciju i regulaciju željezničkog prometa, a planirani su u okviru odobrenih limita iz sredstava Državnoga proračuna i vlastitih izvora financiranja od prodaje proizvoda i usluga i prihoda od imovine. Struktura rashoda za administraciju i upravljanje ukazuje da se 67,91% </w:t>
      </w:r>
      <w:r>
        <w:rPr>
          <w:rFonts w:ascii="Times New Roman" w:hAnsi="Times New Roman" w:cs="Times New Roman"/>
          <w:sz w:val="24"/>
        </w:rPr>
        <w:lastRenderedPageBreak/>
        <w:t>rashoda odnosi na rashode za zaposlene, 30,1</w:t>
      </w:r>
      <w:r w:rsidR="006304EC">
        <w:rPr>
          <w:rFonts w:ascii="Times New Roman" w:hAnsi="Times New Roman" w:cs="Times New Roman"/>
          <w:sz w:val="24"/>
        </w:rPr>
        <w:t>4</w:t>
      </w:r>
      <w:r>
        <w:rPr>
          <w:rFonts w:ascii="Times New Roman" w:hAnsi="Times New Roman" w:cs="Times New Roman"/>
          <w:sz w:val="24"/>
        </w:rPr>
        <w:t xml:space="preserve">% na materijalne rashode, 1,35% na financijske rashode te 0,61% </w:t>
      </w:r>
      <w:r w:rsidR="006304EC">
        <w:rPr>
          <w:rFonts w:ascii="Times New Roman" w:hAnsi="Times New Roman" w:cs="Times New Roman"/>
          <w:sz w:val="24"/>
        </w:rPr>
        <w:t>rashode za donacije, kazne, naknade šteta i kapitalne pomoći</w:t>
      </w:r>
      <w:r>
        <w:rPr>
          <w:rFonts w:ascii="Times New Roman" w:hAnsi="Times New Roman" w:cs="Times New Roman"/>
          <w:sz w:val="24"/>
        </w:rPr>
        <w:t xml:space="preserve">. </w:t>
      </w:r>
    </w:p>
    <w:p w:rsidR="00C36434" w:rsidRDefault="00F03B32">
      <w:pPr>
        <w:spacing w:line="240" w:lineRule="auto"/>
        <w:jc w:val="both"/>
      </w:pPr>
      <w:r>
        <w:rPr>
          <w:rFonts w:ascii="Times New Roman" w:hAnsi="Times New Roman" w:cs="Times New Roman"/>
          <w:sz w:val="24"/>
        </w:rPr>
        <w:t xml:space="preserve">U 2025. godini rashodi za zaposlene iznose 157.811.454,49 EUR od čega se na troškove bruto plaća </w:t>
      </w:r>
      <w:r w:rsidR="001C4AB7">
        <w:rPr>
          <w:rFonts w:ascii="Times New Roman" w:hAnsi="Times New Roman" w:cs="Times New Roman"/>
          <w:sz w:val="24"/>
        </w:rPr>
        <w:t xml:space="preserve">odnosi </w:t>
      </w:r>
      <w:r>
        <w:rPr>
          <w:rFonts w:ascii="Times New Roman" w:hAnsi="Times New Roman" w:cs="Times New Roman"/>
          <w:sz w:val="24"/>
        </w:rPr>
        <w:t xml:space="preserve">75,81%, na doprinose na plaću 12,42% te 11,77% na ostale rashode za zaposlene koji se odnose na otpremnine i ostala materijalna prava radnika (regres za godišnji odmor, božićnica, dar djeci, jubilarne nagrade i sl.) temeljem Kolektivnog ugovora. U odnosu na 2024. godinu, ostvareni rashodi za zaposlene veći su za 17,78% što je najvećim dijelom rezultat primjene Kolektivnog ugovora. U odnosu na plan za 2025. godinu, rashodi za zaposlene veći su za 5,40%. </w:t>
      </w:r>
    </w:p>
    <w:p w:rsidR="00C36434" w:rsidRDefault="00F03B32">
      <w:pPr>
        <w:spacing w:line="240" w:lineRule="auto"/>
        <w:jc w:val="both"/>
      </w:pPr>
      <w:r>
        <w:rPr>
          <w:rFonts w:ascii="Times New Roman" w:hAnsi="Times New Roman" w:cs="Times New Roman"/>
          <w:sz w:val="24"/>
        </w:rPr>
        <w:t>Materijalni rashodi za 2025. godinu iznose 70.028.818,79 EUR, od čega se na naknade troškova zaposlenicima odnosi 8,74%, na rashode za materijal i energiju 21,37%, rashode za usluge 51,21%, naknade troškova osobama izvan radnog odnosa 0,24% i na ostale nespomenute rashode poslovanja 18,44% od čega se najveći dio odnosi na pristojbe i naknade (komunalne naknade) i troškove sudskih postupaka (rješavanje tražbina s društvom HŽ Putnički prijevoz d.o.o.). U odnosu na plan za 2025. godinu realizirani su 103,31%, a u odnosu na 2024. godinu veći su za 22,56% što je rezultat povećanih troškova za tekuće i investicijsko održavanje, komunalne usluge i ostale usluge.</w:t>
      </w:r>
    </w:p>
    <w:p w:rsidR="00C36434" w:rsidRDefault="00F03B32">
      <w:pPr>
        <w:spacing w:line="240" w:lineRule="auto"/>
        <w:jc w:val="both"/>
      </w:pPr>
      <w:r>
        <w:rPr>
          <w:rFonts w:ascii="Times New Roman" w:hAnsi="Times New Roman" w:cs="Times New Roman"/>
          <w:sz w:val="24"/>
        </w:rPr>
        <w:t xml:space="preserve">Financijski rashodi za 2025. godinu iznose 3.126.626,06 EUR od kojih se 90,97% odnosi na ostale nespomenute financijske rashode, 1,65% na bankarske usluge i usluge platnog prometa i 7,38% na zatezne kamate. </w:t>
      </w:r>
    </w:p>
    <w:p w:rsidR="00C36434" w:rsidRDefault="00F03B32">
      <w:pPr>
        <w:spacing w:line="240" w:lineRule="auto"/>
        <w:jc w:val="both"/>
      </w:pPr>
      <w:r>
        <w:rPr>
          <w:rFonts w:ascii="Times New Roman" w:hAnsi="Times New Roman" w:cs="Times New Roman"/>
          <w:sz w:val="24"/>
        </w:rPr>
        <w:t>Ostali rashodi za 2025. godinu iznose 1.414.624,29 EUR i u odnosu na plan za 2025. godinu veći su za 50,49%. Predmetno povećanje najvećim dijelom odnosi se na rashode vezane za naknade štete uslijed izvanrednih događaja. U odnosu na prethodnu godinu, ostali rashodi manji su za 19,16%. </w:t>
      </w:r>
    </w:p>
    <w:p w:rsidR="00C36434" w:rsidRDefault="00F03B32">
      <w:pPr>
        <w:spacing w:line="240" w:lineRule="auto"/>
      </w:pPr>
      <w:r>
        <w:rPr>
          <w:rFonts w:ascii="Times New Roman" w:hAnsi="Times New Roman" w:cs="Times New Roman"/>
          <w:b/>
          <w:u w:val="single"/>
        </w:rPr>
        <w:br/>
        <w:t>K110000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K110000</w:t>
            </w:r>
          </w:p>
        </w:tc>
        <w:tc>
          <w:tcPr>
            <w:tcW w:w="690" w:type="pct"/>
            <w:vAlign w:val="bottom"/>
          </w:tcPr>
          <w:p w:rsidR="00C36434" w:rsidRDefault="00F03B32">
            <w:pPr>
              <w:spacing w:after="0" w:line="240" w:lineRule="auto"/>
              <w:jc w:val="right"/>
            </w:pPr>
            <w:r>
              <w:rPr>
                <w:rFonts w:ascii="Times New Roman" w:hAnsi="Times New Roman" w:cs="Times New Roman"/>
                <w:sz w:val="18"/>
              </w:rPr>
              <w:t>103.353</w:t>
            </w:r>
          </w:p>
        </w:tc>
        <w:tc>
          <w:tcPr>
            <w:tcW w:w="690" w:type="pct"/>
            <w:vAlign w:val="bottom"/>
          </w:tcPr>
          <w:p w:rsidR="00C36434" w:rsidRDefault="00F03B32">
            <w:pPr>
              <w:spacing w:after="0" w:line="240" w:lineRule="auto"/>
              <w:jc w:val="right"/>
            </w:pPr>
            <w:r>
              <w:rPr>
                <w:rFonts w:ascii="Times New Roman" w:hAnsi="Times New Roman" w:cs="Times New Roman"/>
                <w:sz w:val="18"/>
              </w:rPr>
              <w:t>5.353.000</w:t>
            </w:r>
          </w:p>
        </w:tc>
        <w:tc>
          <w:tcPr>
            <w:tcW w:w="690" w:type="pct"/>
            <w:vAlign w:val="bottom"/>
          </w:tcPr>
          <w:p w:rsidR="00C36434" w:rsidRDefault="00F03B32">
            <w:pPr>
              <w:spacing w:after="0" w:line="240" w:lineRule="auto"/>
              <w:jc w:val="right"/>
            </w:pPr>
            <w:r>
              <w:rPr>
                <w:rFonts w:ascii="Times New Roman" w:hAnsi="Times New Roman" w:cs="Times New Roman"/>
                <w:sz w:val="18"/>
              </w:rPr>
              <w:t>445.940</w:t>
            </w:r>
          </w:p>
        </w:tc>
        <w:tc>
          <w:tcPr>
            <w:tcW w:w="690" w:type="pct"/>
            <w:vAlign w:val="bottom"/>
          </w:tcPr>
          <w:p w:rsidR="00C36434" w:rsidRDefault="00F03B32">
            <w:pPr>
              <w:spacing w:after="0" w:line="240" w:lineRule="auto"/>
              <w:jc w:val="right"/>
            </w:pPr>
            <w:r>
              <w:rPr>
                <w:rFonts w:ascii="Times New Roman" w:hAnsi="Times New Roman" w:cs="Times New Roman"/>
                <w:sz w:val="18"/>
              </w:rPr>
              <w:t>431,5</w:t>
            </w:r>
          </w:p>
        </w:tc>
        <w:tc>
          <w:tcPr>
            <w:tcW w:w="690" w:type="pct"/>
            <w:vAlign w:val="bottom"/>
          </w:tcPr>
          <w:p w:rsidR="00C36434" w:rsidRDefault="00F03B32">
            <w:pPr>
              <w:spacing w:after="0" w:line="240" w:lineRule="auto"/>
              <w:jc w:val="right"/>
            </w:pPr>
            <w:r>
              <w:rPr>
                <w:rFonts w:ascii="Times New Roman" w:hAnsi="Times New Roman" w:cs="Times New Roman"/>
                <w:sz w:val="18"/>
              </w:rPr>
              <w:t>8,3</w:t>
            </w:r>
          </w:p>
        </w:tc>
      </w:tr>
    </w:tbl>
    <w:p w:rsidR="00C36434" w:rsidRDefault="00C36434">
      <w:pPr>
        <w:spacing w:after="0" w:line="240" w:lineRule="auto"/>
      </w:pPr>
    </w:p>
    <w:p w:rsidR="00C36434" w:rsidRDefault="00F03B32">
      <w:pPr>
        <w:spacing w:line="240" w:lineRule="auto"/>
        <w:jc w:val="both"/>
        <w:rPr>
          <w:rFonts w:ascii="Times New Roman" w:hAnsi="Times New Roman" w:cs="Times New Roman"/>
          <w:sz w:val="24"/>
        </w:rPr>
      </w:pPr>
      <w:r>
        <w:rPr>
          <w:rFonts w:ascii="Times New Roman" w:hAnsi="Times New Roman" w:cs="Times New Roman"/>
          <w:sz w:val="24"/>
        </w:rPr>
        <w:t>Opremanje obuhvaća rashode za nabavku proizvedene dugotrajne imovine, a odnose se na nabavku opreme za uredske prostorije u iznosu 106.080,22 EUR i nabavku opreme za održavanje i zaštitu u iznosu 339.860,25 EUR. Rashodi za opremanje financirani su iz vlastitih izvora. </w:t>
      </w:r>
    </w:p>
    <w:p w:rsidR="000552DC" w:rsidRPr="000552DC" w:rsidRDefault="000552DC">
      <w:pPr>
        <w:spacing w:line="240" w:lineRule="auto"/>
        <w:jc w:val="both"/>
        <w:rPr>
          <w:sz w:val="12"/>
        </w:rPr>
      </w:pPr>
    </w:p>
    <w:p w:rsidR="00C36434" w:rsidRDefault="00F03B32">
      <w:pPr>
        <w:spacing w:line="240" w:lineRule="auto"/>
      </w:pPr>
      <w:r>
        <w:rPr>
          <w:rFonts w:ascii="Times New Roman" w:hAnsi="Times New Roman" w:cs="Times New Roman"/>
          <w:b/>
          <w:u w:val="single"/>
        </w:rPr>
        <w:t>K110001 INFORMATIZACIJA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K110001</w:t>
            </w:r>
          </w:p>
        </w:tc>
        <w:tc>
          <w:tcPr>
            <w:tcW w:w="690" w:type="pct"/>
            <w:vAlign w:val="bottom"/>
          </w:tcPr>
          <w:p w:rsidR="00C36434" w:rsidRDefault="00F03B32">
            <w:pPr>
              <w:spacing w:after="0" w:line="240" w:lineRule="auto"/>
              <w:jc w:val="right"/>
            </w:pPr>
            <w:r>
              <w:rPr>
                <w:rFonts w:ascii="Times New Roman" w:hAnsi="Times New Roman" w:cs="Times New Roman"/>
                <w:sz w:val="18"/>
              </w:rPr>
              <w:t>4.112.188</w:t>
            </w:r>
          </w:p>
        </w:tc>
        <w:tc>
          <w:tcPr>
            <w:tcW w:w="690" w:type="pct"/>
            <w:vAlign w:val="bottom"/>
          </w:tcPr>
          <w:p w:rsidR="00C36434" w:rsidRDefault="00F03B32">
            <w:pPr>
              <w:spacing w:after="0" w:line="240" w:lineRule="auto"/>
              <w:jc w:val="right"/>
            </w:pPr>
            <w:r>
              <w:rPr>
                <w:rFonts w:ascii="Times New Roman" w:hAnsi="Times New Roman" w:cs="Times New Roman"/>
                <w:sz w:val="18"/>
              </w:rPr>
              <w:t>3.898.400</w:t>
            </w:r>
          </w:p>
        </w:tc>
        <w:tc>
          <w:tcPr>
            <w:tcW w:w="690" w:type="pct"/>
            <w:vAlign w:val="bottom"/>
          </w:tcPr>
          <w:p w:rsidR="00C36434" w:rsidRDefault="00F03B32">
            <w:pPr>
              <w:spacing w:after="0" w:line="240" w:lineRule="auto"/>
              <w:jc w:val="right"/>
            </w:pPr>
            <w:r>
              <w:rPr>
                <w:rFonts w:ascii="Times New Roman" w:hAnsi="Times New Roman" w:cs="Times New Roman"/>
                <w:sz w:val="18"/>
              </w:rPr>
              <w:t>4.775.584</w:t>
            </w:r>
          </w:p>
        </w:tc>
        <w:tc>
          <w:tcPr>
            <w:tcW w:w="690" w:type="pct"/>
            <w:vAlign w:val="bottom"/>
          </w:tcPr>
          <w:p w:rsidR="00C36434" w:rsidRDefault="00F03B32">
            <w:pPr>
              <w:spacing w:after="0" w:line="240" w:lineRule="auto"/>
              <w:jc w:val="right"/>
            </w:pPr>
            <w:r>
              <w:rPr>
                <w:rFonts w:ascii="Times New Roman" w:hAnsi="Times New Roman" w:cs="Times New Roman"/>
                <w:sz w:val="18"/>
              </w:rPr>
              <w:t>116,1</w:t>
            </w:r>
          </w:p>
        </w:tc>
        <w:tc>
          <w:tcPr>
            <w:tcW w:w="690" w:type="pct"/>
            <w:vAlign w:val="bottom"/>
          </w:tcPr>
          <w:p w:rsidR="00C36434" w:rsidRDefault="00F03B32">
            <w:pPr>
              <w:spacing w:after="0" w:line="240" w:lineRule="auto"/>
              <w:jc w:val="right"/>
            </w:pPr>
            <w:r>
              <w:rPr>
                <w:rFonts w:ascii="Times New Roman" w:hAnsi="Times New Roman" w:cs="Times New Roman"/>
                <w:sz w:val="18"/>
              </w:rPr>
              <w:t>122,5</w:t>
            </w:r>
          </w:p>
        </w:tc>
      </w:tr>
    </w:tbl>
    <w:p w:rsidR="005E7713" w:rsidRDefault="005E7713" w:rsidP="005E7713">
      <w:pPr>
        <w:spacing w:after="0" w:line="240" w:lineRule="auto"/>
        <w:jc w:val="both"/>
        <w:rPr>
          <w:rFonts w:ascii="Times New Roman" w:hAnsi="Times New Roman" w:cs="Times New Roman"/>
          <w:sz w:val="24"/>
        </w:rPr>
      </w:pPr>
    </w:p>
    <w:p w:rsidR="00C36434" w:rsidRDefault="00F03B32">
      <w:pPr>
        <w:spacing w:line="240" w:lineRule="auto"/>
        <w:jc w:val="both"/>
      </w:pPr>
      <w:r>
        <w:rPr>
          <w:rFonts w:ascii="Times New Roman" w:hAnsi="Times New Roman" w:cs="Times New Roman"/>
          <w:sz w:val="24"/>
        </w:rPr>
        <w:t xml:space="preserve">Informatizacija obuhvaća izdatke za nabavku informatičke opreme i programa, a odnosi se na nabavku osobnih računala i štampača te ostale informatičke opreme, izgradnju mrežne infrastrukture, dogradnju sigurnosti IP mreže, razvoj programa za upravljanje resursima i imovinom HŽ INFRASTRUKTURE d.o.o., razvoj programa za upravljanje projektima, razvoj sustava poslovne inteligencije (BI sustav), razvoj modela razmjene TAP TSI informacija između upravitelja željezničke infrastrukture i željezničkih operatera u funkciji informiranja putnika, izrada informatičkog sustava za organizaciju i regulaciju prometa i </w:t>
      </w:r>
      <w:r>
        <w:rPr>
          <w:rFonts w:ascii="Times New Roman" w:hAnsi="Times New Roman" w:cs="Times New Roman"/>
          <w:sz w:val="24"/>
        </w:rPr>
        <w:lastRenderedPageBreak/>
        <w:t xml:space="preserve">pristup infrastrukturi (IS-ORPI), razvoj programskog sustava za prikupljanje logova (SIEM) i nabavku opreme i software za primarni i pričuvni računski centar, kao i opremanje sigurnosno-operativnog centra (SOC). </w:t>
      </w:r>
    </w:p>
    <w:p w:rsidR="00C36434" w:rsidRDefault="00F03B32">
      <w:pPr>
        <w:spacing w:line="240" w:lineRule="auto"/>
        <w:jc w:val="both"/>
      </w:pPr>
      <w:r>
        <w:rPr>
          <w:rFonts w:ascii="Times New Roman" w:hAnsi="Times New Roman" w:cs="Times New Roman"/>
          <w:sz w:val="24"/>
        </w:rPr>
        <w:t xml:space="preserve">Ukupno rashodi za informatizaciju u 2025. godini iznose 4.775.584,11 EUR, od čega se 68,55% odnosi na informatičku opremu i 31,45% na ulaganja u računalne programe. </w:t>
      </w:r>
    </w:p>
    <w:p w:rsidR="00C36434" w:rsidRDefault="00F03B32">
      <w:pPr>
        <w:spacing w:line="240" w:lineRule="auto"/>
        <w:jc w:val="both"/>
      </w:pPr>
      <w:r>
        <w:rPr>
          <w:rFonts w:ascii="Times New Roman" w:hAnsi="Times New Roman" w:cs="Times New Roman"/>
          <w:sz w:val="24"/>
        </w:rPr>
        <w:t>Rashodi za informatizaciju izvršeni su na razini 122,50% planiranih sredstava, a u odnosu na prethodnu godinu veći su za 16,13%. Predmetno povećanje gotovo u cijelosti odnos</w:t>
      </w:r>
      <w:r w:rsidR="008C7617">
        <w:rPr>
          <w:rFonts w:ascii="Times New Roman" w:hAnsi="Times New Roman" w:cs="Times New Roman"/>
          <w:sz w:val="24"/>
        </w:rPr>
        <w:t>i</w:t>
      </w:r>
      <w:r>
        <w:rPr>
          <w:rFonts w:ascii="Times New Roman" w:hAnsi="Times New Roman" w:cs="Times New Roman"/>
          <w:sz w:val="24"/>
        </w:rPr>
        <w:t xml:space="preserve"> se na ulaganja u izgradnju informatičke infrastrukture, opremanje sigurnosno-operativnog centra (SOC) i nabavku informatičke opreme.</w:t>
      </w:r>
      <w:r>
        <w:rPr>
          <w:rFonts w:ascii="Times New Roman" w:hAnsi="Times New Roman" w:cs="Times New Roman"/>
          <w:color w:val="FF0000"/>
          <w:sz w:val="24"/>
        </w:rPr>
        <w:t xml:space="preserve"> </w:t>
      </w:r>
    </w:p>
    <w:p w:rsidR="00C36434" w:rsidRDefault="00F03B32">
      <w:pPr>
        <w:spacing w:line="240" w:lineRule="auto"/>
      </w:pPr>
      <w:r>
        <w:rPr>
          <w:rFonts w:ascii="Times New Roman" w:hAnsi="Times New Roman" w:cs="Times New Roman"/>
          <w:b/>
          <w:u w:val="single"/>
        </w:rPr>
        <w:br/>
        <w:t>K110002 PRIJEVOZNA SREDSTVA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K110002</w:t>
            </w:r>
          </w:p>
        </w:tc>
        <w:tc>
          <w:tcPr>
            <w:tcW w:w="690" w:type="pct"/>
            <w:vAlign w:val="bottom"/>
          </w:tcPr>
          <w:p w:rsidR="00C36434" w:rsidRDefault="00F03B32">
            <w:pPr>
              <w:spacing w:after="0" w:line="240" w:lineRule="auto"/>
              <w:jc w:val="right"/>
            </w:pPr>
            <w:r>
              <w:rPr>
                <w:rFonts w:ascii="Times New Roman" w:hAnsi="Times New Roman" w:cs="Times New Roman"/>
                <w:sz w:val="18"/>
              </w:rPr>
              <w:t>7.294.850</w:t>
            </w:r>
          </w:p>
        </w:tc>
        <w:tc>
          <w:tcPr>
            <w:tcW w:w="690" w:type="pct"/>
            <w:vAlign w:val="bottom"/>
          </w:tcPr>
          <w:p w:rsidR="00C36434" w:rsidRDefault="00F03B32">
            <w:pPr>
              <w:spacing w:after="0" w:line="240" w:lineRule="auto"/>
              <w:jc w:val="right"/>
            </w:pPr>
            <w:r>
              <w:rPr>
                <w:rFonts w:ascii="Times New Roman" w:hAnsi="Times New Roman" w:cs="Times New Roman"/>
                <w:sz w:val="18"/>
              </w:rPr>
              <w:t>1.100.000</w:t>
            </w:r>
          </w:p>
        </w:tc>
        <w:tc>
          <w:tcPr>
            <w:tcW w:w="690" w:type="pct"/>
            <w:vAlign w:val="bottom"/>
          </w:tcPr>
          <w:p w:rsidR="00C36434" w:rsidRDefault="00F03B32">
            <w:pPr>
              <w:spacing w:after="0" w:line="240" w:lineRule="auto"/>
              <w:jc w:val="right"/>
            </w:pPr>
            <w:r>
              <w:rPr>
                <w:rFonts w:ascii="Times New Roman" w:hAnsi="Times New Roman" w:cs="Times New Roman"/>
                <w:sz w:val="18"/>
              </w:rPr>
              <w:t>7.118.468</w:t>
            </w:r>
          </w:p>
        </w:tc>
        <w:tc>
          <w:tcPr>
            <w:tcW w:w="690" w:type="pct"/>
            <w:vAlign w:val="bottom"/>
          </w:tcPr>
          <w:p w:rsidR="00C36434" w:rsidRDefault="00F03B32">
            <w:pPr>
              <w:spacing w:after="0" w:line="240" w:lineRule="auto"/>
              <w:jc w:val="right"/>
            </w:pPr>
            <w:r>
              <w:rPr>
                <w:rFonts w:ascii="Times New Roman" w:hAnsi="Times New Roman" w:cs="Times New Roman"/>
                <w:sz w:val="18"/>
              </w:rPr>
              <w:t>97,6</w:t>
            </w:r>
          </w:p>
        </w:tc>
        <w:tc>
          <w:tcPr>
            <w:tcW w:w="690" w:type="pct"/>
            <w:vAlign w:val="bottom"/>
          </w:tcPr>
          <w:p w:rsidR="00C36434" w:rsidRDefault="00F03B32">
            <w:pPr>
              <w:spacing w:after="0" w:line="240" w:lineRule="auto"/>
              <w:jc w:val="right"/>
            </w:pPr>
            <w:r>
              <w:rPr>
                <w:rFonts w:ascii="Times New Roman" w:hAnsi="Times New Roman" w:cs="Times New Roman"/>
                <w:sz w:val="18"/>
              </w:rPr>
              <w:t>647,1</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 xml:space="preserve">Rashodi za nabavku prijevoznih sredstava odnose se na prijevozna sredstva za cestovni promet u iznosu 1.391.596,95 EUR i za vozila posebne namjene u željezničkom prometu u iznosu 5.726.871,20 EUR. </w:t>
      </w:r>
    </w:p>
    <w:p w:rsidR="00C36434" w:rsidRDefault="00F03B32">
      <w:pPr>
        <w:spacing w:line="240" w:lineRule="auto"/>
        <w:jc w:val="both"/>
      </w:pPr>
      <w:r>
        <w:rPr>
          <w:rFonts w:ascii="Times New Roman" w:hAnsi="Times New Roman" w:cs="Times New Roman"/>
          <w:sz w:val="24"/>
        </w:rPr>
        <w:t xml:space="preserve">Rashodi za prijevozna sredstva u cestovnom prometu odnose se na cestovna gospodarska vozila namijenjena za prijevoz radnika na mjesto rada i nabavljena  putem financijskog leasinga na vrijeme od 5 godina. </w:t>
      </w:r>
    </w:p>
    <w:p w:rsidR="00C36434" w:rsidRDefault="00F03B32">
      <w:pPr>
        <w:spacing w:line="240" w:lineRule="auto"/>
        <w:jc w:val="both"/>
      </w:pPr>
      <w:r>
        <w:rPr>
          <w:rFonts w:ascii="Times New Roman" w:hAnsi="Times New Roman" w:cs="Times New Roman"/>
          <w:sz w:val="24"/>
        </w:rPr>
        <w:t>Rashodi za prijevozna sredstva u željezničkom prometu obuhvaćaju modernizaciju željezničkih vozila posebne namjene nabavkom strateške mehanizacije, željezničkih vagona i sitne pružne mehanizacije.</w:t>
      </w:r>
    </w:p>
    <w:p w:rsidR="00C36434" w:rsidRPr="00CE6ACC" w:rsidRDefault="00F03B32">
      <w:pPr>
        <w:spacing w:line="240" w:lineRule="auto"/>
        <w:jc w:val="both"/>
      </w:pPr>
      <w:r>
        <w:rPr>
          <w:rFonts w:ascii="Times New Roman" w:hAnsi="Times New Roman" w:cs="Times New Roman"/>
          <w:sz w:val="24"/>
        </w:rPr>
        <w:t xml:space="preserve">Izvori financiranja prijevoznih sredstava za cestovni promet su vlastiti </w:t>
      </w:r>
      <w:r w:rsidRPr="00CE6ACC">
        <w:rPr>
          <w:rFonts w:ascii="Times New Roman" w:hAnsi="Times New Roman" w:cs="Times New Roman"/>
          <w:sz w:val="24"/>
        </w:rPr>
        <w:t xml:space="preserve">izvori </w:t>
      </w:r>
      <w:r w:rsidR="00CE6ACC" w:rsidRPr="00CE6ACC">
        <w:rPr>
          <w:rFonts w:ascii="Times New Roman" w:hAnsi="Times New Roman" w:cs="Times New Roman"/>
          <w:sz w:val="24"/>
        </w:rPr>
        <w:t>i</w:t>
      </w:r>
      <w:r w:rsidRPr="00CE6ACC">
        <w:rPr>
          <w:rFonts w:ascii="Times New Roman" w:hAnsi="Times New Roman" w:cs="Times New Roman"/>
          <w:sz w:val="24"/>
        </w:rPr>
        <w:t xml:space="preserve"> sredstva Državnog proračuna.  </w:t>
      </w:r>
    </w:p>
    <w:p w:rsidR="00C36434" w:rsidRDefault="00F03B32">
      <w:pPr>
        <w:spacing w:line="240" w:lineRule="auto"/>
      </w:pPr>
      <w:r>
        <w:rPr>
          <w:rFonts w:ascii="Times New Roman" w:hAnsi="Times New Roman" w:cs="Times New Roman"/>
          <w:b/>
          <w:u w:val="single"/>
        </w:rPr>
        <w:br/>
        <w:t>K110003 POSLOVNE ZGRADE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K110003</w:t>
            </w:r>
          </w:p>
        </w:tc>
        <w:tc>
          <w:tcPr>
            <w:tcW w:w="690" w:type="pct"/>
            <w:vAlign w:val="bottom"/>
          </w:tcPr>
          <w:p w:rsidR="00C36434" w:rsidRDefault="00F03B32">
            <w:pPr>
              <w:spacing w:after="0" w:line="240" w:lineRule="auto"/>
              <w:jc w:val="right"/>
            </w:pPr>
            <w:r>
              <w:rPr>
                <w:rFonts w:ascii="Times New Roman" w:hAnsi="Times New Roman" w:cs="Times New Roman"/>
                <w:sz w:val="18"/>
              </w:rPr>
              <w:t>59.574</w:t>
            </w:r>
          </w:p>
        </w:tc>
        <w:tc>
          <w:tcPr>
            <w:tcW w:w="690" w:type="pct"/>
            <w:vAlign w:val="bottom"/>
          </w:tcPr>
          <w:p w:rsidR="00C36434" w:rsidRDefault="00F03B32">
            <w:pPr>
              <w:spacing w:after="0" w:line="240" w:lineRule="auto"/>
              <w:jc w:val="right"/>
            </w:pPr>
            <w:r>
              <w:rPr>
                <w:rFonts w:ascii="Times New Roman" w:hAnsi="Times New Roman" w:cs="Times New Roman"/>
                <w:sz w:val="18"/>
              </w:rPr>
              <w:t>550.000</w:t>
            </w:r>
          </w:p>
        </w:tc>
        <w:tc>
          <w:tcPr>
            <w:tcW w:w="690" w:type="pct"/>
            <w:vAlign w:val="bottom"/>
          </w:tcPr>
          <w:p w:rsidR="00C36434" w:rsidRDefault="00F03B32">
            <w:pPr>
              <w:spacing w:after="0" w:line="240" w:lineRule="auto"/>
              <w:jc w:val="right"/>
            </w:pPr>
            <w:r>
              <w:rPr>
                <w:rFonts w:ascii="Times New Roman" w:hAnsi="Times New Roman" w:cs="Times New Roman"/>
                <w:sz w:val="18"/>
              </w:rPr>
              <w:t>908.075</w:t>
            </w:r>
          </w:p>
        </w:tc>
        <w:tc>
          <w:tcPr>
            <w:tcW w:w="690" w:type="pct"/>
            <w:vAlign w:val="bottom"/>
          </w:tcPr>
          <w:p w:rsidR="00C36434" w:rsidRDefault="00F03B32">
            <w:pPr>
              <w:spacing w:after="0" w:line="240" w:lineRule="auto"/>
              <w:jc w:val="right"/>
            </w:pPr>
            <w:r>
              <w:rPr>
                <w:rFonts w:ascii="Times New Roman" w:hAnsi="Times New Roman" w:cs="Times New Roman"/>
                <w:sz w:val="18"/>
              </w:rPr>
              <w:t>1.524,3</w:t>
            </w:r>
          </w:p>
        </w:tc>
        <w:tc>
          <w:tcPr>
            <w:tcW w:w="690" w:type="pct"/>
            <w:vAlign w:val="bottom"/>
          </w:tcPr>
          <w:p w:rsidR="00C36434" w:rsidRDefault="00F03B32">
            <w:pPr>
              <w:spacing w:after="0" w:line="240" w:lineRule="auto"/>
              <w:jc w:val="right"/>
            </w:pPr>
            <w:r>
              <w:rPr>
                <w:rFonts w:ascii="Times New Roman" w:hAnsi="Times New Roman" w:cs="Times New Roman"/>
                <w:sz w:val="18"/>
              </w:rPr>
              <w:t>165,1</w:t>
            </w:r>
          </w:p>
        </w:tc>
      </w:tr>
    </w:tbl>
    <w:p w:rsidR="00C36434" w:rsidRDefault="00C36434">
      <w:pPr>
        <w:spacing w:after="0" w:line="240" w:lineRule="auto"/>
      </w:pPr>
    </w:p>
    <w:p w:rsidR="005A46DD" w:rsidRPr="009B0748" w:rsidRDefault="00F03B32" w:rsidP="009B0748">
      <w:pPr>
        <w:spacing w:line="240" w:lineRule="auto"/>
        <w:jc w:val="both"/>
      </w:pPr>
      <w:r>
        <w:rPr>
          <w:rFonts w:ascii="Times New Roman" w:hAnsi="Times New Roman" w:cs="Times New Roman"/>
          <w:sz w:val="24"/>
        </w:rPr>
        <w:t>Rashodi za poslovne zgrade odnose se najvećim dijelom na rashode vezane za rekonstrukciju, sanaciju i uređenje zgrada. </w:t>
      </w:r>
    </w:p>
    <w:p w:rsidR="005A46DD" w:rsidRPr="000552DC" w:rsidRDefault="005A46DD">
      <w:pPr>
        <w:spacing w:line="240" w:lineRule="auto"/>
        <w:rPr>
          <w:rFonts w:ascii="Times New Roman" w:hAnsi="Times New Roman" w:cs="Times New Roman"/>
          <w:b/>
          <w:sz w:val="16"/>
          <w:u w:val="single"/>
        </w:rPr>
      </w:pPr>
    </w:p>
    <w:p w:rsidR="00C36434" w:rsidRDefault="00F03B32">
      <w:pPr>
        <w:spacing w:line="240" w:lineRule="auto"/>
      </w:pPr>
      <w:r>
        <w:rPr>
          <w:rFonts w:ascii="Times New Roman" w:hAnsi="Times New Roman" w:cs="Times New Roman"/>
          <w:b/>
          <w:u w:val="single"/>
        </w:rPr>
        <w:t>1101 SERVISIRANJE DUGA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1101</w:t>
            </w:r>
          </w:p>
        </w:tc>
        <w:tc>
          <w:tcPr>
            <w:tcW w:w="690" w:type="pct"/>
            <w:vAlign w:val="bottom"/>
          </w:tcPr>
          <w:p w:rsidR="00C36434" w:rsidRDefault="00F03B32">
            <w:pPr>
              <w:spacing w:after="0" w:line="240" w:lineRule="auto"/>
              <w:jc w:val="right"/>
            </w:pPr>
            <w:r>
              <w:rPr>
                <w:rFonts w:ascii="Times New Roman" w:hAnsi="Times New Roman" w:cs="Times New Roman"/>
                <w:sz w:val="18"/>
              </w:rPr>
              <w:t>108.266.129</w:t>
            </w:r>
          </w:p>
        </w:tc>
        <w:tc>
          <w:tcPr>
            <w:tcW w:w="690" w:type="pct"/>
            <w:vAlign w:val="bottom"/>
          </w:tcPr>
          <w:p w:rsidR="00C36434" w:rsidRDefault="00F03B32">
            <w:pPr>
              <w:spacing w:after="0" w:line="240" w:lineRule="auto"/>
              <w:jc w:val="right"/>
            </w:pPr>
            <w:r>
              <w:rPr>
                <w:rFonts w:ascii="Times New Roman" w:hAnsi="Times New Roman" w:cs="Times New Roman"/>
                <w:sz w:val="18"/>
              </w:rPr>
              <w:t>50.297.520</w:t>
            </w:r>
          </w:p>
        </w:tc>
        <w:tc>
          <w:tcPr>
            <w:tcW w:w="690" w:type="pct"/>
            <w:vAlign w:val="bottom"/>
          </w:tcPr>
          <w:p w:rsidR="00C36434" w:rsidRDefault="00F03B32">
            <w:pPr>
              <w:spacing w:after="0" w:line="240" w:lineRule="auto"/>
              <w:jc w:val="right"/>
            </w:pPr>
            <w:r>
              <w:rPr>
                <w:rFonts w:ascii="Times New Roman" w:hAnsi="Times New Roman" w:cs="Times New Roman"/>
                <w:sz w:val="18"/>
              </w:rPr>
              <w:t>50.663.798</w:t>
            </w:r>
          </w:p>
        </w:tc>
        <w:tc>
          <w:tcPr>
            <w:tcW w:w="690" w:type="pct"/>
            <w:vAlign w:val="bottom"/>
          </w:tcPr>
          <w:p w:rsidR="00C36434" w:rsidRDefault="00F03B32">
            <w:pPr>
              <w:spacing w:after="0" w:line="240" w:lineRule="auto"/>
              <w:jc w:val="right"/>
            </w:pPr>
            <w:r>
              <w:rPr>
                <w:rFonts w:ascii="Times New Roman" w:hAnsi="Times New Roman" w:cs="Times New Roman"/>
                <w:sz w:val="18"/>
              </w:rPr>
              <w:t>46,8</w:t>
            </w:r>
          </w:p>
        </w:tc>
        <w:tc>
          <w:tcPr>
            <w:tcW w:w="690" w:type="pct"/>
            <w:vAlign w:val="bottom"/>
          </w:tcPr>
          <w:p w:rsidR="00C36434" w:rsidRDefault="00F03B32">
            <w:pPr>
              <w:spacing w:after="0" w:line="240" w:lineRule="auto"/>
              <w:jc w:val="right"/>
            </w:pPr>
            <w:r>
              <w:rPr>
                <w:rFonts w:ascii="Times New Roman" w:hAnsi="Times New Roman" w:cs="Times New Roman"/>
                <w:sz w:val="18"/>
              </w:rPr>
              <w:t>100,7</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Pravovremena otplata kreditnih obveza osigurava kontinuitet investicijskog ciklusa po projektima unutar programa obnove, modernizacije i izgradnje željezničke infrastrukture, kao i nastavak ostalih investicija kojima se poboljšava efikasnost željezničkog sustava i kvaliteta upravljanja.</w:t>
      </w:r>
    </w:p>
    <w:p w:rsidR="00C36434" w:rsidRDefault="00F03B32">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Pravovremena otplata dospijeća obveza po zaduživanju na tržištu kapitala</w:t>
      </w:r>
    </w:p>
    <w:p w:rsidR="00C36434" w:rsidRPr="00AC6918" w:rsidRDefault="00F03B32">
      <w:pPr>
        <w:spacing w:line="240" w:lineRule="auto"/>
        <w:rPr>
          <w:rFonts w:ascii="Times New Roman" w:hAnsi="Times New Roman" w:cs="Times New Roman"/>
          <w:b/>
          <w:sz w:val="24"/>
          <w:u w:val="single"/>
        </w:rPr>
      </w:pPr>
      <w:r>
        <w:rPr>
          <w:rFonts w:ascii="Times New Roman" w:hAnsi="Times New Roman" w:cs="Times New Roman"/>
          <w:b/>
          <w:sz w:val="24"/>
          <w:u w:val="single"/>
        </w:rPr>
        <w:lastRenderedPageBreak/>
        <w:t>Opis provedbe cilja programa</w:t>
      </w:r>
    </w:p>
    <w:p w:rsidR="00C36434" w:rsidRDefault="00F03B32">
      <w:pPr>
        <w:spacing w:line="240" w:lineRule="auto"/>
        <w:jc w:val="both"/>
      </w:pPr>
      <w:r>
        <w:rPr>
          <w:rFonts w:ascii="Times New Roman" w:hAnsi="Times New Roman" w:cs="Times New Roman"/>
          <w:sz w:val="24"/>
        </w:rPr>
        <w:t xml:space="preserve">U 2025. </w:t>
      </w:r>
      <w:r w:rsidR="00A81B74">
        <w:rPr>
          <w:rFonts w:ascii="Times New Roman" w:hAnsi="Times New Roman" w:cs="Times New Roman"/>
          <w:sz w:val="24"/>
        </w:rPr>
        <w:t>godini</w:t>
      </w:r>
      <w:r>
        <w:rPr>
          <w:rFonts w:ascii="Times New Roman" w:hAnsi="Times New Roman" w:cs="Times New Roman"/>
          <w:sz w:val="24"/>
        </w:rPr>
        <w:t xml:space="preserve"> pravovremeno su podmirene sve dospjele kreditne obveze koje uključuju glavnicu, kamate i naknade po kreditima na razini 100,00%. Ostvarena vrijednost u cijelosti se odnosi na otplatu glavnice i kamata zajma EBRD i otplatu kredita po revolving principu kod banke izvan javnog sektora za financiranje CEF projekata željezničke infrastrukture po dospijeću tj. 31.12.2025. </w:t>
      </w:r>
      <w:r w:rsidR="00A81B74">
        <w:rPr>
          <w:rFonts w:ascii="Times New Roman" w:hAnsi="Times New Roman" w:cs="Times New Roman"/>
          <w:sz w:val="24"/>
        </w:rPr>
        <w:t>godine</w:t>
      </w:r>
      <w:r>
        <w:rPr>
          <w:rFonts w:ascii="Times New Roman" w:hAnsi="Times New Roman" w:cs="Times New Roman"/>
          <w:sz w:val="24"/>
        </w:rPr>
        <w:t>.</w:t>
      </w:r>
    </w:p>
    <w:p w:rsidR="00C36434" w:rsidRDefault="00F03B32">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Održivost kreditne sposobnosti</w:t>
            </w:r>
          </w:p>
        </w:tc>
        <w:tc>
          <w:tcPr>
            <w:tcW w:w="550" w:type="pct"/>
            <w:vAlign w:val="center"/>
          </w:tcPr>
          <w:p w:rsidR="00C36434" w:rsidRDefault="00F03B32">
            <w:pPr>
              <w:spacing w:after="0" w:line="240" w:lineRule="auto"/>
              <w:jc w:val="center"/>
            </w:pPr>
            <w:r>
              <w:rPr>
                <w:rFonts w:ascii="Times New Roman" w:hAnsi="Times New Roman" w:cs="Times New Roman"/>
                <w:sz w:val="18"/>
              </w:rPr>
              <w:t>Uredno servisiranje obveza po zaduživanju na tržištu kapitala</w:t>
            </w:r>
          </w:p>
        </w:tc>
        <w:tc>
          <w:tcPr>
            <w:tcW w:w="550" w:type="pct"/>
            <w:vAlign w:val="center"/>
          </w:tcPr>
          <w:p w:rsidR="00C36434" w:rsidRDefault="00F03B32">
            <w:pPr>
              <w:spacing w:after="0" w:line="240" w:lineRule="auto"/>
              <w:jc w:val="center"/>
            </w:pPr>
            <w:r>
              <w:rPr>
                <w:rFonts w:ascii="Times New Roman" w:hAnsi="Times New Roman" w:cs="Times New Roman"/>
                <w:sz w:val="18"/>
              </w:rPr>
              <w:t>%</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Default="00E83122">
            <w:pPr>
              <w:spacing w:after="0" w:line="240" w:lineRule="auto"/>
              <w:jc w:val="right"/>
            </w:pPr>
            <w:r>
              <w:rPr>
                <w:rFonts w:ascii="Times New Roman" w:hAnsi="Times New Roman" w:cs="Times New Roman"/>
                <w:sz w:val="18"/>
              </w:rPr>
              <w:t>100,0</w:t>
            </w:r>
          </w:p>
        </w:tc>
      </w:tr>
    </w:tbl>
    <w:p w:rsidR="00C36434" w:rsidRDefault="00C36434">
      <w:pPr>
        <w:spacing w:after="0" w:line="240" w:lineRule="auto"/>
      </w:pPr>
    </w:p>
    <w:p w:rsidR="00C36434" w:rsidRDefault="00F03B32">
      <w:pPr>
        <w:spacing w:line="240" w:lineRule="auto"/>
      </w:pPr>
      <w:r>
        <w:rPr>
          <w:rFonts w:ascii="Times New Roman" w:hAnsi="Times New Roman" w:cs="Times New Roman"/>
          <w:b/>
          <w:u w:val="single"/>
        </w:rPr>
        <w:br/>
        <w:t>A110001 ZAJMOVI OD BANAKA I OSTALIH FINANCIJSKIH INSTITUCIJA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A110001</w:t>
            </w:r>
          </w:p>
        </w:tc>
        <w:tc>
          <w:tcPr>
            <w:tcW w:w="690" w:type="pct"/>
            <w:vAlign w:val="bottom"/>
          </w:tcPr>
          <w:p w:rsidR="00C36434" w:rsidRDefault="00F03B32">
            <w:pPr>
              <w:spacing w:after="0" w:line="240" w:lineRule="auto"/>
              <w:jc w:val="right"/>
            </w:pPr>
            <w:r>
              <w:rPr>
                <w:rFonts w:ascii="Times New Roman" w:hAnsi="Times New Roman" w:cs="Times New Roman"/>
                <w:sz w:val="18"/>
              </w:rPr>
              <w:t>108.266.129</w:t>
            </w:r>
          </w:p>
        </w:tc>
        <w:tc>
          <w:tcPr>
            <w:tcW w:w="690" w:type="pct"/>
            <w:vAlign w:val="bottom"/>
          </w:tcPr>
          <w:p w:rsidR="00C36434" w:rsidRDefault="00F03B32">
            <w:pPr>
              <w:spacing w:after="0" w:line="240" w:lineRule="auto"/>
              <w:jc w:val="right"/>
            </w:pPr>
            <w:r>
              <w:rPr>
                <w:rFonts w:ascii="Times New Roman" w:hAnsi="Times New Roman" w:cs="Times New Roman"/>
                <w:sz w:val="18"/>
              </w:rPr>
              <w:t>50.297.520</w:t>
            </w:r>
          </w:p>
        </w:tc>
        <w:tc>
          <w:tcPr>
            <w:tcW w:w="690" w:type="pct"/>
            <w:vAlign w:val="bottom"/>
          </w:tcPr>
          <w:p w:rsidR="00C36434" w:rsidRDefault="00F03B32">
            <w:pPr>
              <w:spacing w:after="0" w:line="240" w:lineRule="auto"/>
              <w:jc w:val="right"/>
            </w:pPr>
            <w:r>
              <w:rPr>
                <w:rFonts w:ascii="Times New Roman" w:hAnsi="Times New Roman" w:cs="Times New Roman"/>
                <w:sz w:val="18"/>
              </w:rPr>
              <w:t>50.663.798</w:t>
            </w:r>
          </w:p>
        </w:tc>
        <w:tc>
          <w:tcPr>
            <w:tcW w:w="690" w:type="pct"/>
            <w:vAlign w:val="bottom"/>
          </w:tcPr>
          <w:p w:rsidR="00C36434" w:rsidRDefault="00F03B32">
            <w:pPr>
              <w:spacing w:after="0" w:line="240" w:lineRule="auto"/>
              <w:jc w:val="right"/>
            </w:pPr>
            <w:r>
              <w:rPr>
                <w:rFonts w:ascii="Times New Roman" w:hAnsi="Times New Roman" w:cs="Times New Roman"/>
                <w:sz w:val="18"/>
              </w:rPr>
              <w:t>46,8</w:t>
            </w:r>
          </w:p>
        </w:tc>
        <w:tc>
          <w:tcPr>
            <w:tcW w:w="690" w:type="pct"/>
            <w:vAlign w:val="bottom"/>
          </w:tcPr>
          <w:p w:rsidR="00C36434" w:rsidRDefault="00F03B32">
            <w:pPr>
              <w:spacing w:after="0" w:line="240" w:lineRule="auto"/>
              <w:jc w:val="right"/>
            </w:pPr>
            <w:r>
              <w:rPr>
                <w:rFonts w:ascii="Times New Roman" w:hAnsi="Times New Roman" w:cs="Times New Roman"/>
                <w:sz w:val="18"/>
              </w:rPr>
              <w:t>100,7</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Servisiranje duga odnosi se na izdatke vezane za isplatu kamata i glavnice po kreditu međunarodne razvojne banke – EBRD zajma i povrat kredita po revolving principu komercijalne banke za financiranje CEF projekata željezničke infrastrukture HŽ INFRASTRUKTURA d.o.o. </w:t>
      </w:r>
    </w:p>
    <w:p w:rsidR="00C36434" w:rsidRDefault="00F03B32">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Izvršenje obveza prema ugovorenim rokovima</w:t>
            </w:r>
          </w:p>
        </w:tc>
        <w:tc>
          <w:tcPr>
            <w:tcW w:w="550" w:type="pct"/>
            <w:vAlign w:val="center"/>
          </w:tcPr>
          <w:p w:rsidR="00C36434" w:rsidRDefault="00F03B32">
            <w:pPr>
              <w:spacing w:after="0" w:line="240" w:lineRule="auto"/>
              <w:jc w:val="center"/>
            </w:pPr>
            <w:r>
              <w:rPr>
                <w:rFonts w:ascii="Times New Roman" w:hAnsi="Times New Roman" w:cs="Times New Roman"/>
                <w:sz w:val="18"/>
              </w:rPr>
              <w:t>Pravovremeno izvršenje ugovorenih obveza</w:t>
            </w:r>
          </w:p>
        </w:tc>
        <w:tc>
          <w:tcPr>
            <w:tcW w:w="550" w:type="pct"/>
            <w:vAlign w:val="center"/>
          </w:tcPr>
          <w:p w:rsidR="00C36434" w:rsidRDefault="00F03B32">
            <w:pPr>
              <w:spacing w:after="0" w:line="240" w:lineRule="auto"/>
              <w:jc w:val="center"/>
            </w:pPr>
            <w:r>
              <w:rPr>
                <w:rFonts w:ascii="Times New Roman" w:hAnsi="Times New Roman" w:cs="Times New Roman"/>
                <w:sz w:val="18"/>
              </w:rPr>
              <w:t>%</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Default="00E83122">
            <w:pPr>
              <w:spacing w:after="0" w:line="240" w:lineRule="auto"/>
              <w:jc w:val="right"/>
            </w:pPr>
            <w:r>
              <w:rPr>
                <w:rFonts w:ascii="Times New Roman" w:hAnsi="Times New Roman" w:cs="Times New Roman"/>
                <w:sz w:val="18"/>
              </w:rPr>
              <w:t>100,0</w:t>
            </w:r>
          </w:p>
        </w:tc>
      </w:tr>
    </w:tbl>
    <w:p w:rsidR="00C36434" w:rsidRDefault="00C36434">
      <w:pPr>
        <w:spacing w:after="0" w:line="240" w:lineRule="auto"/>
      </w:pPr>
    </w:p>
    <w:p w:rsidR="000552DC" w:rsidRPr="000552DC" w:rsidRDefault="000552DC">
      <w:pPr>
        <w:spacing w:line="240" w:lineRule="auto"/>
        <w:rPr>
          <w:rFonts w:ascii="Times New Roman" w:hAnsi="Times New Roman" w:cs="Times New Roman"/>
          <w:b/>
          <w:sz w:val="16"/>
          <w:u w:val="single"/>
        </w:rPr>
      </w:pPr>
    </w:p>
    <w:p w:rsidR="00C36434" w:rsidRDefault="00F03B32">
      <w:pPr>
        <w:spacing w:line="240" w:lineRule="auto"/>
      </w:pPr>
      <w:r>
        <w:rPr>
          <w:rFonts w:ascii="Times New Roman" w:hAnsi="Times New Roman" w:cs="Times New Roman"/>
          <w:b/>
          <w:u w:val="single"/>
        </w:rPr>
        <w:t>1102 PROGRAMI INVESTICIJSKIH AKTIVNOSTI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1102</w:t>
            </w:r>
          </w:p>
        </w:tc>
        <w:tc>
          <w:tcPr>
            <w:tcW w:w="690" w:type="pct"/>
            <w:vAlign w:val="bottom"/>
          </w:tcPr>
          <w:p w:rsidR="00C36434" w:rsidRDefault="00F03B32">
            <w:pPr>
              <w:spacing w:after="0" w:line="240" w:lineRule="auto"/>
              <w:jc w:val="right"/>
            </w:pPr>
            <w:r>
              <w:rPr>
                <w:rFonts w:ascii="Times New Roman" w:hAnsi="Times New Roman" w:cs="Times New Roman"/>
                <w:sz w:val="18"/>
              </w:rPr>
              <w:t>217.679.915</w:t>
            </w:r>
          </w:p>
        </w:tc>
        <w:tc>
          <w:tcPr>
            <w:tcW w:w="690" w:type="pct"/>
            <w:vAlign w:val="bottom"/>
          </w:tcPr>
          <w:p w:rsidR="00C36434" w:rsidRDefault="00F03B32">
            <w:pPr>
              <w:spacing w:after="0" w:line="240" w:lineRule="auto"/>
              <w:jc w:val="right"/>
            </w:pPr>
            <w:r>
              <w:rPr>
                <w:rFonts w:ascii="Times New Roman" w:hAnsi="Times New Roman" w:cs="Times New Roman"/>
                <w:sz w:val="18"/>
              </w:rPr>
              <w:t>312.839.600</w:t>
            </w:r>
          </w:p>
        </w:tc>
        <w:tc>
          <w:tcPr>
            <w:tcW w:w="690" w:type="pct"/>
            <w:vAlign w:val="bottom"/>
          </w:tcPr>
          <w:p w:rsidR="00C36434" w:rsidRDefault="00F03B32">
            <w:pPr>
              <w:spacing w:after="0" w:line="240" w:lineRule="auto"/>
              <w:jc w:val="right"/>
            </w:pPr>
            <w:r>
              <w:rPr>
                <w:rFonts w:ascii="Times New Roman" w:hAnsi="Times New Roman" w:cs="Times New Roman"/>
                <w:sz w:val="18"/>
              </w:rPr>
              <w:t>283.111.713</w:t>
            </w:r>
          </w:p>
        </w:tc>
        <w:tc>
          <w:tcPr>
            <w:tcW w:w="690" w:type="pct"/>
            <w:vAlign w:val="bottom"/>
          </w:tcPr>
          <w:p w:rsidR="00C36434" w:rsidRDefault="00F03B32">
            <w:pPr>
              <w:spacing w:after="0" w:line="240" w:lineRule="auto"/>
              <w:jc w:val="right"/>
            </w:pPr>
            <w:r>
              <w:rPr>
                <w:rFonts w:ascii="Times New Roman" w:hAnsi="Times New Roman" w:cs="Times New Roman"/>
                <w:sz w:val="18"/>
              </w:rPr>
              <w:t>130,1</w:t>
            </w:r>
          </w:p>
        </w:tc>
        <w:tc>
          <w:tcPr>
            <w:tcW w:w="690" w:type="pct"/>
            <w:vAlign w:val="bottom"/>
          </w:tcPr>
          <w:p w:rsidR="00C36434" w:rsidRDefault="00F03B32">
            <w:pPr>
              <w:spacing w:after="0" w:line="240" w:lineRule="auto"/>
              <w:jc w:val="right"/>
            </w:pPr>
            <w:r>
              <w:rPr>
                <w:rFonts w:ascii="Times New Roman" w:hAnsi="Times New Roman" w:cs="Times New Roman"/>
                <w:sz w:val="18"/>
              </w:rPr>
              <w:t>90,5</w:t>
            </w:r>
          </w:p>
        </w:tc>
      </w:tr>
    </w:tbl>
    <w:p w:rsidR="00C36434" w:rsidRPr="00DD033F" w:rsidRDefault="00C36434">
      <w:pPr>
        <w:spacing w:after="0" w:line="240" w:lineRule="auto"/>
        <w:rPr>
          <w:sz w:val="16"/>
        </w:rPr>
      </w:pPr>
    </w:p>
    <w:p w:rsidR="00C36434" w:rsidRDefault="00F03B32">
      <w:pPr>
        <w:spacing w:line="240" w:lineRule="auto"/>
        <w:jc w:val="both"/>
      </w:pPr>
      <w:r>
        <w:rPr>
          <w:rFonts w:ascii="Times New Roman" w:hAnsi="Times New Roman" w:cs="Times New Roman"/>
          <w:sz w:val="24"/>
        </w:rPr>
        <w:t xml:space="preserve">Sukladno Nacionalnom planu razvoja željezničke infrastrukture do 2030. godine, Nacionalnom planu upravljanja željezničkom infrastrukturom i uslužnim objektima i razvoja usluga željezničkog prijevoza za razdoblje do 2030. godine i ostalim strateškim dokumentima za razvoj željezničkog sustava, HŽ INFRASTRUKTURA d.o.o. izrađuje Poslovne planove koji uključuju Plan građenja, modernizacije, obnove i održavanja željezničke infrastrukture. Svi planirani radovi odnosno investicijske aktivnosti na željezničkoj mreži u cijelosti su u funkciji sigurnosti željezničkog prometa i sudionika u prometu, a najvećim dijelom </w:t>
      </w:r>
      <w:r>
        <w:rPr>
          <w:rFonts w:ascii="Times New Roman" w:hAnsi="Times New Roman" w:cs="Times New Roman"/>
          <w:sz w:val="24"/>
        </w:rPr>
        <w:lastRenderedPageBreak/>
        <w:t>obuhvaćaju ulaganja u obnovu, modernizaciju i izgradnju pruga, željezničko cestovne prijelaze, prometno upravljačke i signalno sigurnosne sustave te nabavu strateške mehanizacije u funkciji održavanja željezničke infrastrukture.</w:t>
      </w:r>
    </w:p>
    <w:p w:rsidR="00C36434" w:rsidRDefault="00F03B32">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Povećanje kapaciteta, brzine i razine sigurnosti na prugama za međunarodni, regionalni i lokalni promet te kvalitetno željezničko povezivanje hrvatskih regija i povezivanje na europske prometne pravce povećanjem broja obnovljenih, moderniziranih, rekonstruiranih i izgrađenih kilometara željezničkih kolosijeka.</w:t>
      </w:r>
    </w:p>
    <w:p w:rsidR="00C36434" w:rsidRDefault="00F03B32">
      <w:pPr>
        <w:spacing w:line="240" w:lineRule="auto"/>
      </w:pPr>
      <w:r>
        <w:rPr>
          <w:rFonts w:ascii="Times New Roman" w:hAnsi="Times New Roman" w:cs="Times New Roman"/>
          <w:b/>
          <w:sz w:val="24"/>
          <w:u w:val="single"/>
        </w:rPr>
        <w:br/>
        <w:t>Opis provedbe cilja programa</w:t>
      </w:r>
    </w:p>
    <w:p w:rsidR="00C36434" w:rsidRDefault="00F03B32">
      <w:pPr>
        <w:spacing w:line="240" w:lineRule="auto"/>
        <w:jc w:val="both"/>
      </w:pPr>
      <w:r>
        <w:rPr>
          <w:rFonts w:ascii="Times New Roman" w:hAnsi="Times New Roman" w:cs="Times New Roman"/>
          <w:sz w:val="24"/>
        </w:rPr>
        <w:t xml:space="preserve">Planirane investicijske aktivnosti usmjerene su na podizanje kvalitete i sigurnosti željezničkog prometa i željezničke mreže. Budući da se radi o projektima u različitim fazama pripreme i provedbe, a uvažavajući činjenicu da se realizacija velikog broja projekata proteže kroz više od jedne godine, godišnje izvršenje planiranih aktivnosti neće nužno na godišnjem nivou rezultirati i ostvarenjem postavljenih ciljeva. Svi realizirani radovi u funkciji su ostvarenja postavljenih ciljeva i ukazuju da je tijekom 2025. </w:t>
      </w:r>
      <w:r w:rsidR="00003A81">
        <w:rPr>
          <w:rFonts w:ascii="Times New Roman" w:hAnsi="Times New Roman" w:cs="Times New Roman"/>
          <w:sz w:val="24"/>
        </w:rPr>
        <w:t>godine</w:t>
      </w:r>
      <w:r>
        <w:rPr>
          <w:rFonts w:ascii="Times New Roman" w:hAnsi="Times New Roman" w:cs="Times New Roman"/>
          <w:sz w:val="24"/>
        </w:rPr>
        <w:t xml:space="preserve"> ostvaren kontinuitet investicijskog ciklusa. </w:t>
      </w:r>
    </w:p>
    <w:p w:rsidR="00C36434" w:rsidRDefault="00F03B32">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9"/>
        <w:gridCol w:w="1230"/>
        <w:gridCol w:w="1153"/>
        <w:gridCol w:w="1153"/>
        <w:gridCol w:w="1153"/>
        <w:gridCol w:w="1153"/>
        <w:gridCol w:w="1153"/>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Realizacija investicija u željezničku infrastrukturu</w:t>
            </w:r>
          </w:p>
        </w:tc>
        <w:tc>
          <w:tcPr>
            <w:tcW w:w="550" w:type="pct"/>
            <w:vAlign w:val="center"/>
          </w:tcPr>
          <w:p w:rsidR="00C36434" w:rsidRDefault="00F03B32">
            <w:pPr>
              <w:spacing w:after="0" w:line="240" w:lineRule="auto"/>
              <w:jc w:val="center"/>
            </w:pPr>
            <w:r>
              <w:rPr>
                <w:rFonts w:ascii="Times New Roman" w:hAnsi="Times New Roman" w:cs="Times New Roman"/>
                <w:sz w:val="18"/>
              </w:rPr>
              <w:t>Stupanj izvršenja planiranih investicijskih radova kojima se poboljšava konkurentnost i sigurnost željezničkog prometa</w:t>
            </w:r>
          </w:p>
        </w:tc>
        <w:tc>
          <w:tcPr>
            <w:tcW w:w="550" w:type="pct"/>
            <w:vAlign w:val="center"/>
          </w:tcPr>
          <w:p w:rsidR="00C36434" w:rsidRDefault="00F03B32">
            <w:pPr>
              <w:spacing w:after="0" w:line="240" w:lineRule="auto"/>
              <w:jc w:val="center"/>
            </w:pPr>
            <w:r>
              <w:rPr>
                <w:rFonts w:ascii="Times New Roman" w:hAnsi="Times New Roman" w:cs="Times New Roman"/>
                <w:sz w:val="18"/>
              </w:rPr>
              <w:t>%</w:t>
            </w:r>
          </w:p>
        </w:tc>
        <w:tc>
          <w:tcPr>
            <w:tcW w:w="550" w:type="pct"/>
            <w:vAlign w:val="center"/>
          </w:tcPr>
          <w:p w:rsidR="00C36434" w:rsidRDefault="00F03B32">
            <w:pPr>
              <w:spacing w:after="0" w:line="240" w:lineRule="auto"/>
              <w:jc w:val="right"/>
            </w:pPr>
            <w:r>
              <w:rPr>
                <w:rFonts w:ascii="Times New Roman" w:hAnsi="Times New Roman" w:cs="Times New Roman"/>
                <w:sz w:val="18"/>
              </w:rPr>
              <w:t>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100,0</w:t>
            </w:r>
          </w:p>
        </w:tc>
        <w:tc>
          <w:tcPr>
            <w:tcW w:w="550" w:type="pct"/>
            <w:vAlign w:val="center"/>
          </w:tcPr>
          <w:p w:rsidR="00C36434" w:rsidRPr="00E83122" w:rsidRDefault="00E83122">
            <w:pPr>
              <w:spacing w:after="0" w:line="240" w:lineRule="auto"/>
              <w:jc w:val="right"/>
              <w:rPr>
                <w:rFonts w:ascii="Times New Roman" w:hAnsi="Times New Roman" w:cs="Times New Roman"/>
                <w:sz w:val="18"/>
              </w:rPr>
            </w:pPr>
            <w:r>
              <w:rPr>
                <w:rFonts w:ascii="Times New Roman" w:hAnsi="Times New Roman" w:cs="Times New Roman"/>
                <w:sz w:val="18"/>
              </w:rPr>
              <w:t>91,5</w:t>
            </w:r>
          </w:p>
        </w:tc>
      </w:tr>
    </w:tbl>
    <w:p w:rsidR="000552DC" w:rsidRPr="000552DC" w:rsidRDefault="000552DC">
      <w:pPr>
        <w:spacing w:line="240" w:lineRule="auto"/>
        <w:rPr>
          <w:rFonts w:ascii="Times New Roman" w:hAnsi="Times New Roman" w:cs="Times New Roman"/>
          <w:b/>
          <w:sz w:val="2"/>
          <w:u w:val="single"/>
        </w:rPr>
      </w:pPr>
    </w:p>
    <w:p w:rsidR="000552DC" w:rsidRDefault="000552DC">
      <w:pPr>
        <w:spacing w:line="240" w:lineRule="auto"/>
        <w:rPr>
          <w:rFonts w:ascii="Times New Roman" w:hAnsi="Times New Roman" w:cs="Times New Roman"/>
          <w:b/>
          <w:u w:val="single"/>
        </w:rPr>
      </w:pPr>
    </w:p>
    <w:p w:rsidR="00C36434" w:rsidRPr="00D7428E" w:rsidRDefault="00F03B32">
      <w:pPr>
        <w:spacing w:line="240" w:lineRule="auto"/>
        <w:rPr>
          <w:rFonts w:ascii="Times New Roman" w:hAnsi="Times New Roman" w:cs="Times New Roman"/>
          <w:b/>
          <w:u w:val="single"/>
        </w:rPr>
      </w:pPr>
      <w:r>
        <w:rPr>
          <w:rFonts w:ascii="Times New Roman" w:hAnsi="Times New Roman" w:cs="Times New Roman"/>
          <w:b/>
          <w:u w:val="single"/>
        </w:rPr>
        <w:t>K110004 PROJEKTI IZ PROGRAMA OBNOVE I MODERNIZACIJE PRUGA ZA MEĐUNARODNI PROMET</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K110004</w:t>
            </w:r>
          </w:p>
        </w:tc>
        <w:tc>
          <w:tcPr>
            <w:tcW w:w="690" w:type="pct"/>
            <w:vAlign w:val="bottom"/>
          </w:tcPr>
          <w:p w:rsidR="00C36434" w:rsidRDefault="00F03B32">
            <w:pPr>
              <w:spacing w:after="0" w:line="240" w:lineRule="auto"/>
              <w:jc w:val="right"/>
            </w:pPr>
            <w:r>
              <w:rPr>
                <w:rFonts w:ascii="Times New Roman" w:hAnsi="Times New Roman" w:cs="Times New Roman"/>
                <w:sz w:val="18"/>
              </w:rPr>
              <w:t>73.438.054</w:t>
            </w:r>
          </w:p>
        </w:tc>
        <w:tc>
          <w:tcPr>
            <w:tcW w:w="690" w:type="pct"/>
            <w:vAlign w:val="bottom"/>
          </w:tcPr>
          <w:p w:rsidR="00C36434" w:rsidRDefault="00F03B32">
            <w:pPr>
              <w:spacing w:after="0" w:line="240" w:lineRule="auto"/>
              <w:jc w:val="right"/>
            </w:pPr>
            <w:r>
              <w:rPr>
                <w:rFonts w:ascii="Times New Roman" w:hAnsi="Times New Roman" w:cs="Times New Roman"/>
                <w:sz w:val="18"/>
              </w:rPr>
              <w:t>85.908.500</w:t>
            </w:r>
          </w:p>
        </w:tc>
        <w:tc>
          <w:tcPr>
            <w:tcW w:w="690" w:type="pct"/>
            <w:vAlign w:val="bottom"/>
          </w:tcPr>
          <w:p w:rsidR="00C36434" w:rsidRDefault="00F03B32">
            <w:pPr>
              <w:spacing w:after="0" w:line="240" w:lineRule="auto"/>
              <w:jc w:val="right"/>
            </w:pPr>
            <w:r>
              <w:rPr>
                <w:rFonts w:ascii="Times New Roman" w:hAnsi="Times New Roman" w:cs="Times New Roman"/>
                <w:sz w:val="18"/>
              </w:rPr>
              <w:t>61.846.751</w:t>
            </w:r>
          </w:p>
        </w:tc>
        <w:tc>
          <w:tcPr>
            <w:tcW w:w="690" w:type="pct"/>
            <w:vAlign w:val="bottom"/>
          </w:tcPr>
          <w:p w:rsidR="00C36434" w:rsidRDefault="00F03B32">
            <w:pPr>
              <w:spacing w:after="0" w:line="240" w:lineRule="auto"/>
              <w:jc w:val="right"/>
            </w:pPr>
            <w:r>
              <w:rPr>
                <w:rFonts w:ascii="Times New Roman" w:hAnsi="Times New Roman" w:cs="Times New Roman"/>
                <w:sz w:val="18"/>
              </w:rPr>
              <w:t>84,2</w:t>
            </w:r>
          </w:p>
        </w:tc>
        <w:tc>
          <w:tcPr>
            <w:tcW w:w="690" w:type="pct"/>
            <w:vAlign w:val="bottom"/>
          </w:tcPr>
          <w:p w:rsidR="00C36434" w:rsidRDefault="00F03B32">
            <w:pPr>
              <w:spacing w:after="0" w:line="240" w:lineRule="auto"/>
              <w:jc w:val="right"/>
            </w:pPr>
            <w:r>
              <w:rPr>
                <w:rFonts w:ascii="Times New Roman" w:hAnsi="Times New Roman" w:cs="Times New Roman"/>
                <w:sz w:val="18"/>
              </w:rPr>
              <w:t>72,0</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Program obnove i modernizacije pruga za međunarodni promet obuhvaća radove po infrastrukturnim podsustavima (građevinski, elektroenergetski, prometno-upravljački i signalno - sigurnosni)</w:t>
      </w:r>
      <w:r w:rsidR="00F56111">
        <w:rPr>
          <w:rFonts w:ascii="Times New Roman" w:hAnsi="Times New Roman" w:cs="Times New Roman"/>
          <w:sz w:val="24"/>
        </w:rPr>
        <w:t>,</w:t>
      </w:r>
      <w:r>
        <w:rPr>
          <w:rFonts w:ascii="Times New Roman" w:hAnsi="Times New Roman" w:cs="Times New Roman"/>
          <w:sz w:val="24"/>
        </w:rPr>
        <w:t xml:space="preserve"> a odnose se na obnovu odnosno modernizaciju pruga na koridoru RH2 (Mediteranski koridor – bivši ogranak V.b koridora), na prometnom pravcu Oštarije/Ogulin - Knin -Split/Zadar/Šibenik, na koridoru RH3 (bivši ogranak V.c), </w:t>
      </w:r>
      <w:r w:rsidR="00157B69">
        <w:rPr>
          <w:rFonts w:ascii="Times New Roman" w:hAnsi="Times New Roman" w:cs="Times New Roman"/>
          <w:sz w:val="24"/>
        </w:rPr>
        <w:t>koridoru RH1 (bivši X. koridor)</w:t>
      </w:r>
      <w:r>
        <w:rPr>
          <w:rFonts w:ascii="Times New Roman" w:hAnsi="Times New Roman" w:cs="Times New Roman"/>
          <w:sz w:val="24"/>
        </w:rPr>
        <w:t xml:space="preserve"> te obnovu i modernizaciju ostalih pruga za međunarodni promet.</w:t>
      </w:r>
    </w:p>
    <w:p w:rsidR="00C36434" w:rsidRDefault="00F03B32">
      <w:pPr>
        <w:spacing w:line="240" w:lineRule="auto"/>
        <w:jc w:val="both"/>
      </w:pPr>
      <w:r>
        <w:rPr>
          <w:rFonts w:ascii="Times New Roman" w:hAnsi="Times New Roman" w:cs="Times New Roman"/>
          <w:sz w:val="24"/>
        </w:rPr>
        <w:t xml:space="preserve">Strateški projekti obuhvaćeni ovim programom su </w:t>
      </w:r>
      <w:r w:rsidR="0085292A">
        <w:rPr>
          <w:rFonts w:ascii="Times New Roman" w:hAnsi="Times New Roman" w:cs="Times New Roman"/>
          <w:sz w:val="24"/>
        </w:rPr>
        <w:t>O</w:t>
      </w:r>
      <w:r>
        <w:rPr>
          <w:rFonts w:ascii="Times New Roman" w:hAnsi="Times New Roman" w:cs="Times New Roman"/>
          <w:sz w:val="24"/>
        </w:rPr>
        <w:t xml:space="preserve">bnova postojećeg kolosijeka na dionici Dugo Selo - Križevci (25,4 km) na pruzi M201 DG - Botovo - Dugo Selo, </w:t>
      </w:r>
      <w:r w:rsidR="0085292A">
        <w:rPr>
          <w:rFonts w:ascii="Times New Roman" w:hAnsi="Times New Roman" w:cs="Times New Roman"/>
          <w:sz w:val="24"/>
        </w:rPr>
        <w:t>O</w:t>
      </w:r>
      <w:r>
        <w:rPr>
          <w:rFonts w:ascii="Times New Roman" w:hAnsi="Times New Roman" w:cs="Times New Roman"/>
          <w:sz w:val="24"/>
        </w:rPr>
        <w:t xml:space="preserve">bnova dionice Andrijevci-Garčin lk (7,8 km) i Strizivojna Vrpolje-Andrijevci dk (8,9 km) i dionice Okučani - Sibinj (106,2 km), na pruzi M104 Novska-Tovarnik-DG, </w:t>
      </w:r>
      <w:r w:rsidR="0085292A">
        <w:rPr>
          <w:rFonts w:ascii="Times New Roman" w:hAnsi="Times New Roman" w:cs="Times New Roman"/>
          <w:sz w:val="24"/>
        </w:rPr>
        <w:t>O</w:t>
      </w:r>
      <w:r>
        <w:rPr>
          <w:rFonts w:ascii="Times New Roman" w:hAnsi="Times New Roman" w:cs="Times New Roman"/>
          <w:sz w:val="24"/>
        </w:rPr>
        <w:t xml:space="preserve">bnova dionice Kutina- Deanovec </w:t>
      </w:r>
      <w:r>
        <w:rPr>
          <w:rFonts w:ascii="Times New Roman" w:hAnsi="Times New Roman" w:cs="Times New Roman"/>
          <w:sz w:val="24"/>
        </w:rPr>
        <w:lastRenderedPageBreak/>
        <w:t xml:space="preserve">(36,43 km), na pruzi M103  Dugo Selo-Novska, </w:t>
      </w:r>
      <w:r w:rsidR="0085292A">
        <w:rPr>
          <w:rFonts w:ascii="Times New Roman" w:hAnsi="Times New Roman" w:cs="Times New Roman"/>
          <w:sz w:val="24"/>
        </w:rPr>
        <w:t>O</w:t>
      </w:r>
      <w:r>
        <w:rPr>
          <w:rFonts w:ascii="Times New Roman" w:hAnsi="Times New Roman" w:cs="Times New Roman"/>
          <w:sz w:val="24"/>
        </w:rPr>
        <w:t xml:space="preserve">bnova dionica Donji Kraljevec-Kotoriba (11,6 km), Kotoriba-DG (3,8km) i DG-Čakovec (8,4km) na pruzi M501 DG-Čakovec-Kotoriba-DG, </w:t>
      </w:r>
      <w:r w:rsidR="0085292A">
        <w:rPr>
          <w:rFonts w:ascii="Times New Roman" w:hAnsi="Times New Roman" w:cs="Times New Roman"/>
          <w:sz w:val="24"/>
        </w:rPr>
        <w:t>M</w:t>
      </w:r>
      <w:r>
        <w:rPr>
          <w:rFonts w:ascii="Times New Roman" w:hAnsi="Times New Roman" w:cs="Times New Roman"/>
          <w:sz w:val="24"/>
        </w:rPr>
        <w:t xml:space="preserve">odernizacija  i obnova kolodvora i signalno-sigurnosnih uređaja pruge Oštarije-Knin– Split, </w:t>
      </w:r>
      <w:r w:rsidR="0085292A">
        <w:rPr>
          <w:rFonts w:ascii="Times New Roman" w:hAnsi="Times New Roman" w:cs="Times New Roman"/>
          <w:sz w:val="24"/>
        </w:rPr>
        <w:t>U</w:t>
      </w:r>
      <w:r>
        <w:rPr>
          <w:rFonts w:ascii="Times New Roman" w:hAnsi="Times New Roman" w:cs="Times New Roman"/>
          <w:sz w:val="24"/>
        </w:rPr>
        <w:t xml:space="preserve">klanjanje "uskih grla" na željezničkoj infrastrukturi, </w:t>
      </w:r>
      <w:r w:rsidR="0085292A">
        <w:rPr>
          <w:rFonts w:ascii="Times New Roman" w:hAnsi="Times New Roman" w:cs="Times New Roman"/>
          <w:sz w:val="24"/>
        </w:rPr>
        <w:t>O</w:t>
      </w:r>
      <w:r>
        <w:rPr>
          <w:rFonts w:ascii="Times New Roman" w:hAnsi="Times New Roman" w:cs="Times New Roman"/>
          <w:sz w:val="24"/>
        </w:rPr>
        <w:t>bnova dionice Zagreb Zk - Zagreb Gk i Osiguranje SS uređajem kolodvora Slavonski Šamac i pruge M303 S. Vrpolje-S. Šamac-DG.</w:t>
      </w:r>
    </w:p>
    <w:p w:rsidR="00C36434" w:rsidRDefault="00F03B32">
      <w:pPr>
        <w:spacing w:line="240" w:lineRule="auto"/>
        <w:jc w:val="both"/>
      </w:pPr>
      <w:r>
        <w:rPr>
          <w:rFonts w:ascii="Times New Roman" w:hAnsi="Times New Roman" w:cs="Times New Roman"/>
          <w:sz w:val="24"/>
        </w:rPr>
        <w:t xml:space="preserve">U 2025. </w:t>
      </w:r>
      <w:r w:rsidR="00003A81">
        <w:rPr>
          <w:rFonts w:ascii="Times New Roman" w:hAnsi="Times New Roman" w:cs="Times New Roman"/>
          <w:sz w:val="24"/>
        </w:rPr>
        <w:t>godini</w:t>
      </w:r>
      <w:r>
        <w:rPr>
          <w:rFonts w:ascii="Times New Roman" w:hAnsi="Times New Roman" w:cs="Times New Roman"/>
          <w:sz w:val="24"/>
        </w:rPr>
        <w:t xml:space="preserve"> izvršenje je manje za 28,01% u odnosu na 2024. godinu, a u odnosu na plan za 2025. godinu ostvarenje je na nivou 84,22%.</w:t>
      </w:r>
    </w:p>
    <w:p w:rsidR="00C36434" w:rsidRDefault="00F03B32">
      <w:pPr>
        <w:spacing w:line="240" w:lineRule="auto"/>
        <w:jc w:val="both"/>
      </w:pPr>
      <w:r>
        <w:rPr>
          <w:rFonts w:ascii="Times New Roman" w:hAnsi="Times New Roman" w:cs="Times New Roman"/>
          <w:sz w:val="24"/>
        </w:rPr>
        <w:t xml:space="preserve">Projekti iz ove aktivnosti u 2025. </w:t>
      </w:r>
      <w:r w:rsidR="00003A81">
        <w:rPr>
          <w:rFonts w:ascii="Times New Roman" w:hAnsi="Times New Roman" w:cs="Times New Roman"/>
          <w:sz w:val="24"/>
        </w:rPr>
        <w:t>godini</w:t>
      </w:r>
      <w:r>
        <w:rPr>
          <w:rFonts w:ascii="Times New Roman" w:hAnsi="Times New Roman" w:cs="Times New Roman"/>
          <w:sz w:val="24"/>
        </w:rPr>
        <w:t xml:space="preserve"> financirani su najveći</w:t>
      </w:r>
      <w:r w:rsidR="00BA31D5">
        <w:rPr>
          <w:rFonts w:ascii="Times New Roman" w:hAnsi="Times New Roman" w:cs="Times New Roman"/>
          <w:sz w:val="24"/>
        </w:rPr>
        <w:t>m dijelom iz sredstava Državnog</w:t>
      </w:r>
      <w:r>
        <w:rPr>
          <w:rFonts w:ascii="Times New Roman" w:hAnsi="Times New Roman" w:cs="Times New Roman"/>
          <w:sz w:val="24"/>
        </w:rPr>
        <w:t xml:space="preserve"> proračuna te sredstava EU fondova (NPOO i CEF).  </w:t>
      </w:r>
    </w:p>
    <w:p w:rsidR="00C36434" w:rsidRDefault="00F03B32">
      <w:pPr>
        <w:spacing w:line="240" w:lineRule="auto"/>
        <w:jc w:val="both"/>
      </w:pPr>
      <w:r>
        <w:rPr>
          <w:rFonts w:ascii="Times New Roman" w:hAnsi="Times New Roman" w:cs="Times New Roman"/>
          <w:sz w:val="24"/>
        </w:rPr>
        <w:t xml:space="preserve">Za pokazatelj rezultata broj izgrađenih kilometara željezničkih kolosijeka na prugama realizirana vrijednost u 2025. godini odnosi na se projekte </w:t>
      </w:r>
      <w:r w:rsidR="008C50B8">
        <w:rPr>
          <w:rFonts w:ascii="Times New Roman" w:hAnsi="Times New Roman" w:cs="Times New Roman"/>
          <w:sz w:val="24"/>
        </w:rPr>
        <w:t>O</w:t>
      </w:r>
      <w:r>
        <w:rPr>
          <w:rFonts w:ascii="Times New Roman" w:hAnsi="Times New Roman" w:cs="Times New Roman"/>
          <w:sz w:val="24"/>
        </w:rPr>
        <w:t xml:space="preserve">bnova dionice Kutina- Deanovec (36,43 km), na pruzi M103  Dugo Selo-Novska, </w:t>
      </w:r>
      <w:r w:rsidR="008C50B8">
        <w:rPr>
          <w:rFonts w:ascii="Times New Roman" w:hAnsi="Times New Roman" w:cs="Times New Roman"/>
          <w:sz w:val="24"/>
        </w:rPr>
        <w:t>O</w:t>
      </w:r>
      <w:r>
        <w:rPr>
          <w:rFonts w:ascii="Times New Roman" w:hAnsi="Times New Roman" w:cs="Times New Roman"/>
          <w:sz w:val="24"/>
        </w:rPr>
        <w:t xml:space="preserve">bnova dionica Donji Kraljevec-Kotoriba (11,6 km), Kotoriba-DG (3,8km) i DG-Čakovec (8,4 km) na pruzi M501 DG-Čakovec-Kotoriba-DG, </w:t>
      </w:r>
      <w:r w:rsidR="008C50B8">
        <w:rPr>
          <w:rFonts w:ascii="Times New Roman" w:hAnsi="Times New Roman" w:cs="Times New Roman"/>
          <w:sz w:val="24"/>
        </w:rPr>
        <w:t>O</w:t>
      </w:r>
      <w:r>
        <w:rPr>
          <w:rFonts w:ascii="Times New Roman" w:hAnsi="Times New Roman" w:cs="Times New Roman"/>
          <w:sz w:val="24"/>
        </w:rPr>
        <w:t xml:space="preserve">bnova dionice Generalski Stol – Oštarije (21,4 km) na pruzi M202 Zagreb Gk - Rijeka, </w:t>
      </w:r>
      <w:r w:rsidR="008C50B8">
        <w:rPr>
          <w:rFonts w:ascii="Times New Roman" w:hAnsi="Times New Roman" w:cs="Times New Roman"/>
          <w:sz w:val="24"/>
        </w:rPr>
        <w:t>M</w:t>
      </w:r>
      <w:r>
        <w:rPr>
          <w:rFonts w:ascii="Times New Roman" w:hAnsi="Times New Roman" w:cs="Times New Roman"/>
          <w:sz w:val="24"/>
        </w:rPr>
        <w:t xml:space="preserve">odernizacija i obnova kolodvora i signalno-sigurnosnih uređaja na pruzi M604 Oštarije - Knin - Split, </w:t>
      </w:r>
      <w:r w:rsidR="008C50B8">
        <w:rPr>
          <w:rFonts w:ascii="Times New Roman" w:hAnsi="Times New Roman" w:cs="Times New Roman"/>
          <w:sz w:val="24"/>
        </w:rPr>
        <w:t>O</w:t>
      </w:r>
      <w:r>
        <w:rPr>
          <w:rFonts w:ascii="Times New Roman" w:hAnsi="Times New Roman" w:cs="Times New Roman"/>
          <w:sz w:val="24"/>
        </w:rPr>
        <w:t>bnova pruge M606 Knin - Zadar.</w:t>
      </w:r>
    </w:p>
    <w:p w:rsidR="00C36434" w:rsidRDefault="00F03B32">
      <w:pPr>
        <w:spacing w:line="240" w:lineRule="auto"/>
        <w:jc w:val="both"/>
      </w:pPr>
      <w:r>
        <w:rPr>
          <w:rFonts w:ascii="Times New Roman" w:hAnsi="Times New Roman" w:cs="Times New Roman"/>
          <w:sz w:val="24"/>
        </w:rPr>
        <w:t xml:space="preserve">Za pokazatelj rezultata broj obnovljenih i izgrađenih pružnih građevina (mostova, usjeka, propusta) realizirana vrijednost u 2025. godini odnosi se na </w:t>
      </w:r>
      <w:r w:rsidR="00BA31D5">
        <w:rPr>
          <w:rFonts w:ascii="Times New Roman" w:hAnsi="Times New Roman" w:cs="Times New Roman"/>
          <w:sz w:val="24"/>
        </w:rPr>
        <w:t>p</w:t>
      </w:r>
      <w:r>
        <w:rPr>
          <w:rFonts w:ascii="Times New Roman" w:hAnsi="Times New Roman" w:cs="Times New Roman"/>
          <w:sz w:val="24"/>
        </w:rPr>
        <w:t xml:space="preserve">rojekt </w:t>
      </w:r>
      <w:r w:rsidR="00BA31D5">
        <w:rPr>
          <w:rFonts w:ascii="Times New Roman" w:hAnsi="Times New Roman" w:cs="Times New Roman"/>
          <w:sz w:val="24"/>
        </w:rPr>
        <w:t>U</w:t>
      </w:r>
      <w:r>
        <w:rPr>
          <w:rFonts w:ascii="Times New Roman" w:hAnsi="Times New Roman" w:cs="Times New Roman"/>
          <w:sz w:val="24"/>
        </w:rPr>
        <w:t>klanjanje „uskih grla“. B</w:t>
      </w:r>
      <w:r w:rsidR="00836178">
        <w:rPr>
          <w:rFonts w:ascii="Times New Roman" w:hAnsi="Times New Roman" w:cs="Times New Roman"/>
          <w:sz w:val="24"/>
        </w:rPr>
        <w:t xml:space="preserve">udući da su radovi još u tijeku, </w:t>
      </w:r>
      <w:r>
        <w:rPr>
          <w:rFonts w:ascii="Times New Roman" w:hAnsi="Times New Roman" w:cs="Times New Roman"/>
          <w:sz w:val="24"/>
        </w:rPr>
        <w:t xml:space="preserve">realizacija pokazatelja očekuje </w:t>
      </w:r>
      <w:r w:rsidR="00836178">
        <w:rPr>
          <w:rFonts w:ascii="Times New Roman" w:hAnsi="Times New Roman" w:cs="Times New Roman"/>
          <w:sz w:val="24"/>
        </w:rPr>
        <w:t xml:space="preserve">se </w:t>
      </w:r>
      <w:r>
        <w:rPr>
          <w:rFonts w:ascii="Times New Roman" w:hAnsi="Times New Roman" w:cs="Times New Roman"/>
          <w:sz w:val="24"/>
        </w:rPr>
        <w:t>u idućem razdoblju.</w:t>
      </w:r>
    </w:p>
    <w:p w:rsidR="00C36434" w:rsidRDefault="00F03B32">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Broj izgrađenih kilometara željezničkih kolosijeka na prugama</w:t>
            </w:r>
          </w:p>
        </w:tc>
        <w:tc>
          <w:tcPr>
            <w:tcW w:w="550" w:type="pct"/>
            <w:vAlign w:val="center"/>
          </w:tcPr>
          <w:p w:rsidR="00C36434" w:rsidRDefault="00F03B32">
            <w:pPr>
              <w:spacing w:after="0" w:line="240" w:lineRule="auto"/>
              <w:jc w:val="center"/>
            </w:pPr>
            <w:r>
              <w:rPr>
                <w:rFonts w:ascii="Times New Roman" w:hAnsi="Times New Roman" w:cs="Times New Roman"/>
                <w:sz w:val="18"/>
              </w:rPr>
              <w:t>Broj izgrađenih kilometara željezničkih kolosijeka na prugama</w:t>
            </w:r>
          </w:p>
        </w:tc>
        <w:tc>
          <w:tcPr>
            <w:tcW w:w="550" w:type="pct"/>
            <w:vAlign w:val="center"/>
          </w:tcPr>
          <w:p w:rsidR="00C36434" w:rsidRDefault="00F03B32">
            <w:pPr>
              <w:spacing w:after="0" w:line="240" w:lineRule="auto"/>
              <w:jc w:val="center"/>
            </w:pPr>
            <w:r>
              <w:rPr>
                <w:rFonts w:ascii="Times New Roman" w:hAnsi="Times New Roman" w:cs="Times New Roman"/>
                <w:sz w:val="18"/>
              </w:rPr>
              <w:t>km</w:t>
            </w:r>
          </w:p>
        </w:tc>
        <w:tc>
          <w:tcPr>
            <w:tcW w:w="550" w:type="pct"/>
            <w:vAlign w:val="center"/>
          </w:tcPr>
          <w:p w:rsidR="00C36434" w:rsidRDefault="00F03B32">
            <w:pPr>
              <w:spacing w:after="0" w:line="240" w:lineRule="auto"/>
              <w:jc w:val="right"/>
            </w:pPr>
            <w:r>
              <w:rPr>
                <w:rFonts w:ascii="Times New Roman" w:hAnsi="Times New Roman" w:cs="Times New Roman"/>
                <w:sz w:val="18"/>
              </w:rPr>
              <w:t>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15,0</w:t>
            </w:r>
          </w:p>
        </w:tc>
        <w:tc>
          <w:tcPr>
            <w:tcW w:w="550" w:type="pct"/>
            <w:vAlign w:val="center"/>
          </w:tcPr>
          <w:p w:rsidR="00C36434" w:rsidRPr="00E83122" w:rsidRDefault="00E83122">
            <w:pPr>
              <w:spacing w:after="0" w:line="240" w:lineRule="auto"/>
              <w:jc w:val="right"/>
              <w:rPr>
                <w:rFonts w:ascii="Times New Roman" w:hAnsi="Times New Roman" w:cs="Times New Roman"/>
                <w:sz w:val="18"/>
              </w:rPr>
            </w:pPr>
            <w:r>
              <w:rPr>
                <w:rFonts w:ascii="Times New Roman" w:hAnsi="Times New Roman" w:cs="Times New Roman"/>
                <w:sz w:val="18"/>
              </w:rPr>
              <w:t>98,6</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Broj obnovljenih i izgrađenih  pružnih građevina (mostova, usjeka, propusta)</w:t>
            </w:r>
          </w:p>
        </w:tc>
        <w:tc>
          <w:tcPr>
            <w:tcW w:w="550" w:type="pct"/>
            <w:vAlign w:val="center"/>
          </w:tcPr>
          <w:p w:rsidR="00C36434" w:rsidRDefault="00F03B32">
            <w:pPr>
              <w:spacing w:after="0" w:line="240" w:lineRule="auto"/>
              <w:jc w:val="center"/>
            </w:pPr>
            <w:r>
              <w:rPr>
                <w:rFonts w:ascii="Times New Roman" w:hAnsi="Times New Roman" w:cs="Times New Roman"/>
                <w:sz w:val="18"/>
              </w:rPr>
              <w:t>Izvedeni radovi na obnovi postojećih i izgradnji novih pružnih građevina</w:t>
            </w:r>
          </w:p>
        </w:tc>
        <w:tc>
          <w:tcPr>
            <w:tcW w:w="550" w:type="pct"/>
            <w:vAlign w:val="center"/>
          </w:tcPr>
          <w:p w:rsidR="00C36434" w:rsidRDefault="00F03B32">
            <w:pPr>
              <w:spacing w:after="0" w:line="240" w:lineRule="auto"/>
              <w:jc w:val="center"/>
            </w:pPr>
            <w:r>
              <w:rPr>
                <w:rFonts w:ascii="Times New Roman" w:hAnsi="Times New Roman" w:cs="Times New Roman"/>
                <w:sz w:val="18"/>
              </w:rPr>
              <w:t>broj</w:t>
            </w:r>
          </w:p>
        </w:tc>
        <w:tc>
          <w:tcPr>
            <w:tcW w:w="550" w:type="pct"/>
            <w:vAlign w:val="center"/>
          </w:tcPr>
          <w:p w:rsidR="00C36434" w:rsidRDefault="00F03B32">
            <w:pPr>
              <w:spacing w:after="0" w:line="240" w:lineRule="auto"/>
              <w:jc w:val="right"/>
            </w:pPr>
            <w:r>
              <w:rPr>
                <w:rFonts w:ascii="Times New Roman" w:hAnsi="Times New Roman" w:cs="Times New Roman"/>
                <w:sz w:val="18"/>
              </w:rPr>
              <w:t>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7,0</w:t>
            </w:r>
          </w:p>
        </w:tc>
        <w:tc>
          <w:tcPr>
            <w:tcW w:w="550" w:type="pct"/>
            <w:vAlign w:val="center"/>
          </w:tcPr>
          <w:p w:rsidR="00C36434" w:rsidRPr="00E83122" w:rsidRDefault="00E83122">
            <w:pPr>
              <w:spacing w:after="0" w:line="240" w:lineRule="auto"/>
              <w:jc w:val="right"/>
              <w:rPr>
                <w:rFonts w:ascii="Times New Roman" w:hAnsi="Times New Roman" w:cs="Times New Roman"/>
                <w:sz w:val="18"/>
              </w:rPr>
            </w:pPr>
            <w:r w:rsidRPr="00E83122">
              <w:rPr>
                <w:rFonts w:ascii="Times New Roman" w:hAnsi="Times New Roman" w:cs="Times New Roman"/>
                <w:sz w:val="18"/>
              </w:rPr>
              <w:t>31</w:t>
            </w:r>
            <w:r>
              <w:rPr>
                <w:rFonts w:ascii="Times New Roman" w:hAnsi="Times New Roman" w:cs="Times New Roman"/>
                <w:sz w:val="18"/>
              </w:rPr>
              <w:t>,0</w:t>
            </w:r>
          </w:p>
        </w:tc>
      </w:tr>
    </w:tbl>
    <w:p w:rsidR="00C36434" w:rsidRDefault="00C36434">
      <w:pPr>
        <w:spacing w:after="0" w:line="240" w:lineRule="auto"/>
      </w:pPr>
    </w:p>
    <w:p w:rsidR="00C36434" w:rsidRDefault="00F03B32">
      <w:pPr>
        <w:spacing w:line="240" w:lineRule="auto"/>
      </w:pPr>
      <w:r>
        <w:rPr>
          <w:rFonts w:ascii="Times New Roman" w:hAnsi="Times New Roman" w:cs="Times New Roman"/>
          <w:b/>
          <w:u w:val="single"/>
        </w:rPr>
        <w:br/>
        <w:t>K110005 PROJEKTI IZ PROGRAMA OBNOVE I MODERNIZACIJE PRUGA ZA REGIONALNI  PROMET</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K110005</w:t>
            </w:r>
          </w:p>
        </w:tc>
        <w:tc>
          <w:tcPr>
            <w:tcW w:w="690" w:type="pct"/>
            <w:vAlign w:val="bottom"/>
          </w:tcPr>
          <w:p w:rsidR="00C36434" w:rsidRDefault="00F03B32">
            <w:pPr>
              <w:spacing w:after="0" w:line="240" w:lineRule="auto"/>
              <w:jc w:val="right"/>
            </w:pPr>
            <w:r>
              <w:rPr>
                <w:rFonts w:ascii="Times New Roman" w:hAnsi="Times New Roman" w:cs="Times New Roman"/>
                <w:sz w:val="18"/>
              </w:rPr>
              <w:t>24.509.076</w:t>
            </w:r>
          </w:p>
        </w:tc>
        <w:tc>
          <w:tcPr>
            <w:tcW w:w="690" w:type="pct"/>
            <w:vAlign w:val="bottom"/>
          </w:tcPr>
          <w:p w:rsidR="00C36434" w:rsidRDefault="00F03B32">
            <w:pPr>
              <w:spacing w:after="0" w:line="240" w:lineRule="auto"/>
              <w:jc w:val="right"/>
            </w:pPr>
            <w:r>
              <w:rPr>
                <w:rFonts w:ascii="Times New Roman" w:hAnsi="Times New Roman" w:cs="Times New Roman"/>
                <w:sz w:val="18"/>
              </w:rPr>
              <w:t>55.364.000</w:t>
            </w:r>
          </w:p>
        </w:tc>
        <w:tc>
          <w:tcPr>
            <w:tcW w:w="690" w:type="pct"/>
            <w:vAlign w:val="bottom"/>
          </w:tcPr>
          <w:p w:rsidR="00C36434" w:rsidRDefault="00F03B32">
            <w:pPr>
              <w:spacing w:after="0" w:line="240" w:lineRule="auto"/>
              <w:jc w:val="right"/>
            </w:pPr>
            <w:r>
              <w:rPr>
                <w:rFonts w:ascii="Times New Roman" w:hAnsi="Times New Roman" w:cs="Times New Roman"/>
                <w:sz w:val="18"/>
              </w:rPr>
              <w:t>68.178.051</w:t>
            </w:r>
          </w:p>
        </w:tc>
        <w:tc>
          <w:tcPr>
            <w:tcW w:w="690" w:type="pct"/>
            <w:vAlign w:val="bottom"/>
          </w:tcPr>
          <w:p w:rsidR="00C36434" w:rsidRDefault="00F03B32">
            <w:pPr>
              <w:spacing w:after="0" w:line="240" w:lineRule="auto"/>
              <w:jc w:val="right"/>
            </w:pPr>
            <w:r>
              <w:rPr>
                <w:rFonts w:ascii="Times New Roman" w:hAnsi="Times New Roman" w:cs="Times New Roman"/>
                <w:sz w:val="18"/>
              </w:rPr>
              <w:t>278,2</w:t>
            </w:r>
          </w:p>
        </w:tc>
        <w:tc>
          <w:tcPr>
            <w:tcW w:w="690" w:type="pct"/>
            <w:vAlign w:val="bottom"/>
          </w:tcPr>
          <w:p w:rsidR="00C36434" w:rsidRDefault="00F03B32">
            <w:pPr>
              <w:spacing w:after="0" w:line="240" w:lineRule="auto"/>
              <w:jc w:val="right"/>
            </w:pPr>
            <w:r>
              <w:rPr>
                <w:rFonts w:ascii="Times New Roman" w:hAnsi="Times New Roman" w:cs="Times New Roman"/>
                <w:sz w:val="18"/>
              </w:rPr>
              <w:t>123,1</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Program obnove i modernizacije pruga za regionalni promet obuhvaća sanacije i o</w:t>
      </w:r>
      <w:r w:rsidR="00460172">
        <w:rPr>
          <w:rFonts w:ascii="Times New Roman" w:hAnsi="Times New Roman" w:cs="Times New Roman"/>
          <w:sz w:val="24"/>
        </w:rPr>
        <w:t>bnove pružnih građevina i pruga</w:t>
      </w:r>
      <w:r>
        <w:rPr>
          <w:rFonts w:ascii="Times New Roman" w:hAnsi="Times New Roman" w:cs="Times New Roman"/>
          <w:sz w:val="24"/>
        </w:rPr>
        <w:t xml:space="preserve"> te modernizaciju i elektrifikaciju regionalnih pruga kao i osiguranje kolodvora signalno sigurnosnim uređajima na regionalnim prugama. </w:t>
      </w:r>
    </w:p>
    <w:p w:rsidR="00C36434" w:rsidRDefault="00F03B32">
      <w:pPr>
        <w:spacing w:line="240" w:lineRule="auto"/>
        <w:jc w:val="both"/>
      </w:pPr>
      <w:r>
        <w:rPr>
          <w:rFonts w:ascii="Times New Roman" w:hAnsi="Times New Roman" w:cs="Times New Roman"/>
          <w:sz w:val="24"/>
        </w:rPr>
        <w:lastRenderedPageBreak/>
        <w:t xml:space="preserve">Realizacija ovog programa odnosi se na projekte Obnova željezničke infrastrukture na pruzi R202 Varaždin </w:t>
      </w:r>
      <w:r w:rsidR="009D60EF">
        <w:rPr>
          <w:rFonts w:ascii="Times New Roman" w:hAnsi="Times New Roman" w:cs="Times New Roman"/>
          <w:sz w:val="24"/>
        </w:rPr>
        <w:t>–</w:t>
      </w:r>
      <w:r>
        <w:rPr>
          <w:rFonts w:ascii="Times New Roman" w:hAnsi="Times New Roman" w:cs="Times New Roman"/>
          <w:sz w:val="24"/>
        </w:rPr>
        <w:t xml:space="preserve"> Dalj</w:t>
      </w:r>
      <w:r w:rsidR="009D60EF">
        <w:rPr>
          <w:rFonts w:ascii="Times New Roman" w:hAnsi="Times New Roman" w:cs="Times New Roman"/>
          <w:sz w:val="24"/>
        </w:rPr>
        <w:t>,</w:t>
      </w:r>
      <w:r>
        <w:rPr>
          <w:rFonts w:ascii="Times New Roman" w:hAnsi="Times New Roman" w:cs="Times New Roman"/>
          <w:sz w:val="24"/>
        </w:rPr>
        <w:t xml:space="preserve"> </w:t>
      </w:r>
      <w:r w:rsidR="00DA4758">
        <w:rPr>
          <w:rFonts w:ascii="Times New Roman" w:hAnsi="Times New Roman" w:cs="Times New Roman"/>
          <w:sz w:val="24"/>
        </w:rPr>
        <w:t>O</w:t>
      </w:r>
      <w:r>
        <w:rPr>
          <w:rFonts w:ascii="Times New Roman" w:hAnsi="Times New Roman" w:cs="Times New Roman"/>
          <w:sz w:val="24"/>
        </w:rPr>
        <w:t xml:space="preserve">bnova dionice Osijek-Koška (48,5 km), dionice Pitomača - Kloštar (8,5 km), dionice Kloštar-Koprivnica-Varaždin (74,7 km) i dionice Varaždin-Čakovec (11,8 km) na pruzi R201 Zaprešić-Čakovec, </w:t>
      </w:r>
      <w:r w:rsidR="00DA4758">
        <w:rPr>
          <w:rFonts w:ascii="Times New Roman" w:hAnsi="Times New Roman" w:cs="Times New Roman"/>
          <w:sz w:val="24"/>
        </w:rPr>
        <w:t>O</w:t>
      </w:r>
      <w:r>
        <w:rPr>
          <w:rFonts w:ascii="Times New Roman" w:hAnsi="Times New Roman" w:cs="Times New Roman"/>
          <w:sz w:val="24"/>
        </w:rPr>
        <w:t xml:space="preserve">bnova dionice DG-Sv. Petar u Šumi (50,13 km) na pruzi R101 DG-Buzet i </w:t>
      </w:r>
      <w:r w:rsidR="00DA4758">
        <w:rPr>
          <w:rFonts w:ascii="Times New Roman" w:hAnsi="Times New Roman" w:cs="Times New Roman"/>
          <w:sz w:val="24"/>
        </w:rPr>
        <w:t>O</w:t>
      </w:r>
      <w:r>
        <w:rPr>
          <w:rFonts w:ascii="Times New Roman" w:hAnsi="Times New Roman" w:cs="Times New Roman"/>
          <w:sz w:val="24"/>
        </w:rPr>
        <w:t xml:space="preserve">bnova dionice Zabok - Krapina (16 km) na pruzi R106 Zabok-Đurmanec-DG. </w:t>
      </w:r>
    </w:p>
    <w:p w:rsidR="00C36434" w:rsidRDefault="00F03B32">
      <w:pPr>
        <w:spacing w:line="240" w:lineRule="auto"/>
        <w:jc w:val="both"/>
      </w:pPr>
      <w:r>
        <w:rPr>
          <w:rFonts w:ascii="Times New Roman" w:hAnsi="Times New Roman" w:cs="Times New Roman"/>
          <w:sz w:val="24"/>
        </w:rPr>
        <w:t>U odnosu na plan za 2025. godinu realizirano je 23,15% više u odnosu na planirana sredstva, a u odnosu na 2024. godinu realizirano je više za 43.668.974,35 EUR.</w:t>
      </w:r>
    </w:p>
    <w:p w:rsidR="00C36434" w:rsidRDefault="00F03B32">
      <w:pPr>
        <w:spacing w:line="240" w:lineRule="auto"/>
        <w:jc w:val="both"/>
      </w:pPr>
      <w:r>
        <w:rPr>
          <w:rFonts w:ascii="Times New Roman" w:hAnsi="Times New Roman" w:cs="Times New Roman"/>
          <w:sz w:val="24"/>
        </w:rPr>
        <w:t xml:space="preserve">Projekti iz ove aktivnosti u 2025. </w:t>
      </w:r>
      <w:r w:rsidR="007366A8">
        <w:rPr>
          <w:rFonts w:ascii="Times New Roman" w:hAnsi="Times New Roman" w:cs="Times New Roman"/>
          <w:sz w:val="24"/>
        </w:rPr>
        <w:t>godini</w:t>
      </w:r>
      <w:r>
        <w:rPr>
          <w:rFonts w:ascii="Times New Roman" w:hAnsi="Times New Roman" w:cs="Times New Roman"/>
          <w:sz w:val="24"/>
        </w:rPr>
        <w:t xml:space="preserve"> financirani su najveći</w:t>
      </w:r>
      <w:r w:rsidR="001D274B">
        <w:rPr>
          <w:rFonts w:ascii="Times New Roman" w:hAnsi="Times New Roman" w:cs="Times New Roman"/>
          <w:sz w:val="24"/>
        </w:rPr>
        <w:t>m dijelom iz sredstava Državnog</w:t>
      </w:r>
      <w:r>
        <w:rPr>
          <w:rFonts w:ascii="Times New Roman" w:hAnsi="Times New Roman" w:cs="Times New Roman"/>
          <w:sz w:val="24"/>
        </w:rPr>
        <w:t xml:space="preserve"> proračuna te sredstava NPOO programa.</w:t>
      </w:r>
    </w:p>
    <w:p w:rsidR="00C36434" w:rsidRDefault="00F03B32">
      <w:pPr>
        <w:spacing w:line="240" w:lineRule="auto"/>
        <w:jc w:val="both"/>
      </w:pPr>
      <w:r>
        <w:rPr>
          <w:rFonts w:ascii="Times New Roman" w:hAnsi="Times New Roman" w:cs="Times New Roman"/>
          <w:sz w:val="24"/>
        </w:rPr>
        <w:t xml:space="preserve">Za pokazatelj rezultata broj obnovljenih i izgrađenih pružnih građevina (mostova, usjeka, propusta) realizirana vrijednost u 2025. godini odnosi se </w:t>
      </w:r>
      <w:r w:rsidR="006F54DB">
        <w:rPr>
          <w:rFonts w:ascii="Times New Roman" w:hAnsi="Times New Roman" w:cs="Times New Roman"/>
          <w:sz w:val="24"/>
        </w:rPr>
        <w:t xml:space="preserve">na </w:t>
      </w:r>
      <w:r>
        <w:rPr>
          <w:rFonts w:ascii="Times New Roman" w:hAnsi="Times New Roman" w:cs="Times New Roman"/>
          <w:sz w:val="24"/>
        </w:rPr>
        <w:t>Izradu novog mosta Voćinka u km 98+904 i mosta Vojlovica u km 98+210 na pruzi  R202 Varaždin - Dalj.</w:t>
      </w:r>
    </w:p>
    <w:p w:rsidR="00C36434" w:rsidRDefault="00F03B32">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Broj obnovljenih i izgrađenih  pružnih građevina (mostova, usjeka, propusta)</w:t>
            </w:r>
          </w:p>
        </w:tc>
        <w:tc>
          <w:tcPr>
            <w:tcW w:w="550" w:type="pct"/>
            <w:vAlign w:val="center"/>
          </w:tcPr>
          <w:p w:rsidR="00C36434" w:rsidRDefault="00F03B32">
            <w:pPr>
              <w:spacing w:after="0" w:line="240" w:lineRule="auto"/>
              <w:jc w:val="center"/>
            </w:pPr>
            <w:r>
              <w:rPr>
                <w:rFonts w:ascii="Times New Roman" w:hAnsi="Times New Roman" w:cs="Times New Roman"/>
                <w:sz w:val="18"/>
              </w:rPr>
              <w:t>Izvedeni radovi na obnovi postojećih i izgradnji novih pružnih građevina</w:t>
            </w:r>
          </w:p>
        </w:tc>
        <w:tc>
          <w:tcPr>
            <w:tcW w:w="550" w:type="pct"/>
            <w:vAlign w:val="center"/>
          </w:tcPr>
          <w:p w:rsidR="00C36434" w:rsidRDefault="00F03B32">
            <w:pPr>
              <w:spacing w:after="0" w:line="240" w:lineRule="auto"/>
              <w:jc w:val="center"/>
            </w:pPr>
            <w:r>
              <w:rPr>
                <w:rFonts w:ascii="Times New Roman" w:hAnsi="Times New Roman" w:cs="Times New Roman"/>
                <w:sz w:val="18"/>
              </w:rPr>
              <w:t>broj</w:t>
            </w:r>
          </w:p>
        </w:tc>
        <w:tc>
          <w:tcPr>
            <w:tcW w:w="550" w:type="pct"/>
            <w:vAlign w:val="center"/>
          </w:tcPr>
          <w:p w:rsidR="00C36434" w:rsidRDefault="00F03B32">
            <w:pPr>
              <w:spacing w:after="0" w:line="240" w:lineRule="auto"/>
              <w:jc w:val="right"/>
            </w:pPr>
            <w:r>
              <w:rPr>
                <w:rFonts w:ascii="Times New Roman" w:hAnsi="Times New Roman" w:cs="Times New Roman"/>
                <w:sz w:val="18"/>
              </w:rPr>
              <w:t>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1,0</w:t>
            </w:r>
          </w:p>
        </w:tc>
        <w:tc>
          <w:tcPr>
            <w:tcW w:w="550" w:type="pct"/>
            <w:vAlign w:val="center"/>
          </w:tcPr>
          <w:p w:rsidR="00C36434" w:rsidRPr="00E83122" w:rsidRDefault="00E83122">
            <w:pPr>
              <w:spacing w:after="0" w:line="240" w:lineRule="auto"/>
              <w:jc w:val="right"/>
              <w:rPr>
                <w:rFonts w:ascii="Times New Roman" w:hAnsi="Times New Roman" w:cs="Times New Roman"/>
                <w:sz w:val="18"/>
              </w:rPr>
            </w:pPr>
            <w:r w:rsidRPr="00E83122">
              <w:rPr>
                <w:rFonts w:ascii="Times New Roman" w:hAnsi="Times New Roman" w:cs="Times New Roman"/>
                <w:sz w:val="18"/>
              </w:rPr>
              <w:t>2</w:t>
            </w:r>
            <w:r>
              <w:rPr>
                <w:rFonts w:ascii="Times New Roman" w:hAnsi="Times New Roman" w:cs="Times New Roman"/>
                <w:sz w:val="18"/>
              </w:rPr>
              <w:t>,0</w:t>
            </w:r>
          </w:p>
        </w:tc>
      </w:tr>
    </w:tbl>
    <w:p w:rsidR="00520761" w:rsidRPr="000552DC" w:rsidRDefault="00520761">
      <w:pPr>
        <w:spacing w:line="240" w:lineRule="auto"/>
        <w:rPr>
          <w:rFonts w:ascii="Times New Roman" w:hAnsi="Times New Roman" w:cs="Times New Roman"/>
          <w:b/>
          <w:sz w:val="40"/>
          <w:u w:val="single"/>
        </w:rPr>
      </w:pPr>
    </w:p>
    <w:p w:rsidR="00C36434" w:rsidRDefault="00F03B32">
      <w:pPr>
        <w:spacing w:line="240" w:lineRule="auto"/>
      </w:pPr>
      <w:r>
        <w:rPr>
          <w:rFonts w:ascii="Times New Roman" w:hAnsi="Times New Roman" w:cs="Times New Roman"/>
          <w:b/>
          <w:u w:val="single"/>
        </w:rPr>
        <w:t>K110006 PROJEKTI IZ PROGRAMA OBNOVE I MODERNIZACIJE PRUGA ZA LOKALNI  PROMET</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K110006</w:t>
            </w:r>
          </w:p>
        </w:tc>
        <w:tc>
          <w:tcPr>
            <w:tcW w:w="690" w:type="pct"/>
            <w:vAlign w:val="bottom"/>
          </w:tcPr>
          <w:p w:rsidR="00C36434" w:rsidRDefault="00F03B32">
            <w:pPr>
              <w:spacing w:after="0" w:line="240" w:lineRule="auto"/>
              <w:jc w:val="right"/>
            </w:pPr>
            <w:r>
              <w:rPr>
                <w:rFonts w:ascii="Times New Roman" w:hAnsi="Times New Roman" w:cs="Times New Roman"/>
                <w:sz w:val="18"/>
              </w:rPr>
              <w:t>3.775.740</w:t>
            </w:r>
          </w:p>
        </w:tc>
        <w:tc>
          <w:tcPr>
            <w:tcW w:w="690" w:type="pct"/>
            <w:vAlign w:val="bottom"/>
          </w:tcPr>
          <w:p w:rsidR="00C36434" w:rsidRDefault="00F03B32">
            <w:pPr>
              <w:spacing w:after="0" w:line="240" w:lineRule="auto"/>
              <w:jc w:val="right"/>
            </w:pPr>
            <w:r>
              <w:rPr>
                <w:rFonts w:ascii="Times New Roman" w:hAnsi="Times New Roman" w:cs="Times New Roman"/>
                <w:sz w:val="18"/>
              </w:rPr>
              <w:t>28.776.500</w:t>
            </w:r>
          </w:p>
        </w:tc>
        <w:tc>
          <w:tcPr>
            <w:tcW w:w="690" w:type="pct"/>
            <w:vAlign w:val="bottom"/>
          </w:tcPr>
          <w:p w:rsidR="00C36434" w:rsidRDefault="00F03B32">
            <w:pPr>
              <w:spacing w:after="0" w:line="240" w:lineRule="auto"/>
              <w:jc w:val="right"/>
            </w:pPr>
            <w:r>
              <w:rPr>
                <w:rFonts w:ascii="Times New Roman" w:hAnsi="Times New Roman" w:cs="Times New Roman"/>
                <w:sz w:val="18"/>
              </w:rPr>
              <w:t>20.740.359</w:t>
            </w:r>
          </w:p>
        </w:tc>
        <w:tc>
          <w:tcPr>
            <w:tcW w:w="690" w:type="pct"/>
            <w:vAlign w:val="bottom"/>
          </w:tcPr>
          <w:p w:rsidR="00C36434" w:rsidRDefault="00F03B32">
            <w:pPr>
              <w:spacing w:after="0" w:line="240" w:lineRule="auto"/>
              <w:jc w:val="right"/>
            </w:pPr>
            <w:r>
              <w:rPr>
                <w:rFonts w:ascii="Times New Roman" w:hAnsi="Times New Roman" w:cs="Times New Roman"/>
                <w:sz w:val="18"/>
              </w:rPr>
              <w:t>549,3</w:t>
            </w:r>
          </w:p>
        </w:tc>
        <w:tc>
          <w:tcPr>
            <w:tcW w:w="690" w:type="pct"/>
            <w:vAlign w:val="bottom"/>
          </w:tcPr>
          <w:p w:rsidR="00C36434" w:rsidRDefault="00F03B32">
            <w:pPr>
              <w:spacing w:after="0" w:line="240" w:lineRule="auto"/>
              <w:jc w:val="right"/>
            </w:pPr>
            <w:r>
              <w:rPr>
                <w:rFonts w:ascii="Times New Roman" w:hAnsi="Times New Roman" w:cs="Times New Roman"/>
                <w:sz w:val="18"/>
              </w:rPr>
              <w:t>72,1</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 xml:space="preserve">Program obnove i modernizacije pruga za lokalni promet obuhvaća radove građevinskog infrastrukturnog podsustava za pružne građevine na prugama za lokalni promet i obnovu kolodvora. </w:t>
      </w:r>
    </w:p>
    <w:p w:rsidR="00C36434" w:rsidRDefault="00F03B32">
      <w:pPr>
        <w:spacing w:line="240" w:lineRule="auto"/>
        <w:jc w:val="both"/>
      </w:pPr>
      <w:r>
        <w:rPr>
          <w:rFonts w:ascii="Times New Roman" w:hAnsi="Times New Roman" w:cs="Times New Roman"/>
          <w:sz w:val="24"/>
        </w:rPr>
        <w:t>Projekti obuhvaćaju izgradnju</w:t>
      </w:r>
      <w:r w:rsidR="00FF7AB4">
        <w:rPr>
          <w:rFonts w:ascii="Times New Roman" w:hAnsi="Times New Roman" w:cs="Times New Roman"/>
          <w:sz w:val="24"/>
        </w:rPr>
        <w:t>, sanaciju i ojačanje mostova te</w:t>
      </w:r>
      <w:r>
        <w:rPr>
          <w:rFonts w:ascii="Times New Roman" w:hAnsi="Times New Roman" w:cs="Times New Roman"/>
          <w:sz w:val="24"/>
        </w:rPr>
        <w:t xml:space="preserve"> obnovu dionica Karlovac - Ozalj (14 km) na pruzi L103 Karlovac - Kamanje – DG, obnovu dionice Banova Jaruga - Daruvar (53,4 km)</w:t>
      </w:r>
      <w:r w:rsidR="001D274B">
        <w:rPr>
          <w:rFonts w:ascii="Times New Roman" w:hAnsi="Times New Roman" w:cs="Times New Roman"/>
          <w:sz w:val="24"/>
        </w:rPr>
        <w:t xml:space="preserve"> </w:t>
      </w:r>
      <w:r>
        <w:rPr>
          <w:rFonts w:ascii="Times New Roman" w:hAnsi="Times New Roman" w:cs="Times New Roman"/>
          <w:sz w:val="24"/>
        </w:rPr>
        <w:t>na pruzi L204 Banova Jaruga - Daruvar – Pčelić i obnovu dionice Sveti Ivan Žabno - Bjelovar (18 km) na pruzi L203 Križevci – Kloštar.</w:t>
      </w:r>
    </w:p>
    <w:p w:rsidR="00C36434" w:rsidRDefault="00F03B32">
      <w:pPr>
        <w:spacing w:line="240" w:lineRule="auto"/>
        <w:jc w:val="both"/>
      </w:pPr>
      <w:r>
        <w:rPr>
          <w:rFonts w:ascii="Times New Roman" w:hAnsi="Times New Roman" w:cs="Times New Roman"/>
          <w:sz w:val="24"/>
        </w:rPr>
        <w:t>Projekti iz ove aktivnosti financirani su iz sredstava Državnog proračuna te sredstava NPOO programa.  </w:t>
      </w:r>
    </w:p>
    <w:p w:rsidR="00C36434" w:rsidRDefault="00F03B32">
      <w:pPr>
        <w:spacing w:line="240" w:lineRule="auto"/>
        <w:jc w:val="both"/>
      </w:pPr>
      <w:r>
        <w:rPr>
          <w:rFonts w:ascii="Times New Roman" w:hAnsi="Times New Roman" w:cs="Times New Roman"/>
          <w:sz w:val="24"/>
        </w:rPr>
        <w:t>Za pokazatelj rezultata broj obnovljenih i izgrađenih pružnih građevina (mostova, usjeka, propusta) realizirana vrijednost u 2025. g</w:t>
      </w:r>
      <w:r w:rsidR="00BC6E3A">
        <w:rPr>
          <w:rFonts w:ascii="Times New Roman" w:hAnsi="Times New Roman" w:cs="Times New Roman"/>
          <w:sz w:val="24"/>
        </w:rPr>
        <w:t xml:space="preserve">odini </w:t>
      </w:r>
      <w:r>
        <w:rPr>
          <w:rFonts w:ascii="Times New Roman" w:hAnsi="Times New Roman" w:cs="Times New Roman"/>
          <w:sz w:val="24"/>
        </w:rPr>
        <w:t xml:space="preserve">odnosi </w:t>
      </w:r>
      <w:r w:rsidR="00FC364A">
        <w:rPr>
          <w:rFonts w:ascii="Times New Roman" w:hAnsi="Times New Roman" w:cs="Times New Roman"/>
          <w:sz w:val="24"/>
        </w:rPr>
        <w:t xml:space="preserve">se </w:t>
      </w:r>
      <w:r>
        <w:rPr>
          <w:rFonts w:ascii="Times New Roman" w:hAnsi="Times New Roman" w:cs="Times New Roman"/>
          <w:sz w:val="24"/>
        </w:rPr>
        <w:t xml:space="preserve">na </w:t>
      </w:r>
      <w:r w:rsidR="00FC364A">
        <w:rPr>
          <w:rFonts w:ascii="Times New Roman" w:hAnsi="Times New Roman" w:cs="Times New Roman"/>
          <w:sz w:val="24"/>
        </w:rPr>
        <w:t>I</w:t>
      </w:r>
      <w:r>
        <w:rPr>
          <w:rFonts w:ascii="Times New Roman" w:hAnsi="Times New Roman" w:cs="Times New Roman"/>
          <w:sz w:val="24"/>
        </w:rPr>
        <w:t>zradu novog mosta u km 50+188 na pruzi L205 Nova Kapela – Našice.</w:t>
      </w:r>
    </w:p>
    <w:p w:rsidR="005533F4" w:rsidRDefault="00F03B32">
      <w:pPr>
        <w:spacing w:line="240" w:lineRule="auto"/>
        <w:rPr>
          <w:rFonts w:ascii="Times New Roman" w:hAnsi="Times New Roman" w:cs="Times New Roman"/>
          <w:b/>
          <w:sz w:val="24"/>
          <w:u w:val="single"/>
        </w:rPr>
      </w:pPr>
      <w:r>
        <w:rPr>
          <w:rFonts w:ascii="Times New Roman" w:hAnsi="Times New Roman" w:cs="Times New Roman"/>
          <w:b/>
          <w:sz w:val="24"/>
          <w:u w:val="single"/>
        </w:rPr>
        <w:br/>
      </w:r>
    </w:p>
    <w:p w:rsidR="00C36434" w:rsidRDefault="00F03B32">
      <w:pPr>
        <w:spacing w:line="240" w:lineRule="auto"/>
      </w:pPr>
      <w:r>
        <w:rPr>
          <w:rFonts w:ascii="Times New Roman" w:hAnsi="Times New Roman" w:cs="Times New Roman"/>
          <w:b/>
          <w:sz w:val="24"/>
          <w:u w:val="single"/>
        </w:rPr>
        <w:lastRenderedPageBreak/>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Broj obnovljenih i izgrađenih  pružnih građevina (mostova, usjeka, propusta)</w:t>
            </w:r>
          </w:p>
        </w:tc>
        <w:tc>
          <w:tcPr>
            <w:tcW w:w="550" w:type="pct"/>
            <w:vAlign w:val="center"/>
          </w:tcPr>
          <w:p w:rsidR="00C36434" w:rsidRDefault="00F03B32">
            <w:pPr>
              <w:spacing w:after="0" w:line="240" w:lineRule="auto"/>
              <w:jc w:val="center"/>
            </w:pPr>
            <w:r>
              <w:rPr>
                <w:rFonts w:ascii="Times New Roman" w:hAnsi="Times New Roman" w:cs="Times New Roman"/>
                <w:sz w:val="18"/>
              </w:rPr>
              <w:t>Izvedeni radovi na obnovi postojećih i izgradnji novih pružnih građevina</w:t>
            </w:r>
          </w:p>
        </w:tc>
        <w:tc>
          <w:tcPr>
            <w:tcW w:w="550" w:type="pct"/>
            <w:vAlign w:val="center"/>
          </w:tcPr>
          <w:p w:rsidR="00C36434" w:rsidRDefault="00F03B32">
            <w:pPr>
              <w:spacing w:after="0" w:line="240" w:lineRule="auto"/>
              <w:jc w:val="center"/>
            </w:pPr>
            <w:r>
              <w:rPr>
                <w:rFonts w:ascii="Times New Roman" w:hAnsi="Times New Roman" w:cs="Times New Roman"/>
                <w:sz w:val="18"/>
              </w:rPr>
              <w:t>broj</w:t>
            </w:r>
          </w:p>
        </w:tc>
        <w:tc>
          <w:tcPr>
            <w:tcW w:w="550" w:type="pct"/>
            <w:vAlign w:val="center"/>
          </w:tcPr>
          <w:p w:rsidR="00C36434" w:rsidRDefault="00F03B32">
            <w:pPr>
              <w:spacing w:after="0" w:line="240" w:lineRule="auto"/>
              <w:jc w:val="right"/>
            </w:pPr>
            <w:r>
              <w:rPr>
                <w:rFonts w:ascii="Times New Roman" w:hAnsi="Times New Roman" w:cs="Times New Roman"/>
                <w:sz w:val="18"/>
              </w:rPr>
              <w:t>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2,0</w:t>
            </w:r>
          </w:p>
        </w:tc>
        <w:tc>
          <w:tcPr>
            <w:tcW w:w="550" w:type="pct"/>
            <w:vAlign w:val="center"/>
          </w:tcPr>
          <w:p w:rsidR="00C36434" w:rsidRPr="00E83122" w:rsidRDefault="00E83122">
            <w:pPr>
              <w:spacing w:after="0" w:line="240" w:lineRule="auto"/>
              <w:jc w:val="right"/>
              <w:rPr>
                <w:rFonts w:ascii="Times New Roman" w:hAnsi="Times New Roman" w:cs="Times New Roman"/>
                <w:sz w:val="18"/>
              </w:rPr>
            </w:pPr>
            <w:r w:rsidRPr="00E83122">
              <w:rPr>
                <w:rFonts w:ascii="Times New Roman" w:hAnsi="Times New Roman" w:cs="Times New Roman"/>
                <w:sz w:val="18"/>
              </w:rPr>
              <w:t>1,0</w:t>
            </w:r>
          </w:p>
        </w:tc>
      </w:tr>
    </w:tbl>
    <w:p w:rsidR="00C36434" w:rsidRDefault="00C36434">
      <w:pPr>
        <w:spacing w:after="0" w:line="240" w:lineRule="auto"/>
      </w:pPr>
    </w:p>
    <w:p w:rsidR="00C36434" w:rsidRDefault="00F03B32">
      <w:pPr>
        <w:spacing w:line="240" w:lineRule="auto"/>
      </w:pPr>
      <w:r>
        <w:rPr>
          <w:rFonts w:ascii="Times New Roman" w:hAnsi="Times New Roman" w:cs="Times New Roman"/>
          <w:b/>
          <w:u w:val="single"/>
        </w:rPr>
        <w:br/>
        <w:t>K110007 PROGRAM OBNOVE I MODERNIZACIJE ŽELJEZNIČKOG ČVORIŠTA ZAGREB</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K110007</w:t>
            </w:r>
          </w:p>
        </w:tc>
        <w:tc>
          <w:tcPr>
            <w:tcW w:w="690" w:type="pct"/>
            <w:vAlign w:val="bottom"/>
          </w:tcPr>
          <w:p w:rsidR="00C36434" w:rsidRDefault="00F03B32">
            <w:pPr>
              <w:spacing w:after="0" w:line="240" w:lineRule="auto"/>
              <w:jc w:val="right"/>
            </w:pPr>
            <w:r>
              <w:rPr>
                <w:rFonts w:ascii="Times New Roman" w:hAnsi="Times New Roman" w:cs="Times New Roman"/>
                <w:sz w:val="18"/>
              </w:rPr>
              <w:t>1.035.584</w:t>
            </w:r>
          </w:p>
        </w:tc>
        <w:tc>
          <w:tcPr>
            <w:tcW w:w="690" w:type="pct"/>
            <w:vAlign w:val="bottom"/>
          </w:tcPr>
          <w:p w:rsidR="00C36434" w:rsidRDefault="00F03B32">
            <w:pPr>
              <w:spacing w:after="0" w:line="240" w:lineRule="auto"/>
              <w:jc w:val="right"/>
            </w:pPr>
            <w:r>
              <w:rPr>
                <w:rFonts w:ascii="Times New Roman" w:hAnsi="Times New Roman" w:cs="Times New Roman"/>
                <w:sz w:val="18"/>
              </w:rPr>
              <w:t>13.926.300</w:t>
            </w:r>
          </w:p>
        </w:tc>
        <w:tc>
          <w:tcPr>
            <w:tcW w:w="690" w:type="pct"/>
            <w:vAlign w:val="bottom"/>
          </w:tcPr>
          <w:p w:rsidR="00C36434" w:rsidRDefault="00F03B32">
            <w:pPr>
              <w:spacing w:after="0" w:line="240" w:lineRule="auto"/>
              <w:jc w:val="right"/>
            </w:pPr>
            <w:r>
              <w:rPr>
                <w:rFonts w:ascii="Times New Roman" w:hAnsi="Times New Roman" w:cs="Times New Roman"/>
                <w:sz w:val="18"/>
              </w:rPr>
              <w:t>12.425.022</w:t>
            </w:r>
          </w:p>
        </w:tc>
        <w:tc>
          <w:tcPr>
            <w:tcW w:w="690" w:type="pct"/>
            <w:vAlign w:val="bottom"/>
          </w:tcPr>
          <w:p w:rsidR="00C36434" w:rsidRDefault="00F03B32">
            <w:pPr>
              <w:spacing w:after="0" w:line="240" w:lineRule="auto"/>
              <w:jc w:val="right"/>
            </w:pPr>
            <w:r>
              <w:rPr>
                <w:rFonts w:ascii="Times New Roman" w:hAnsi="Times New Roman" w:cs="Times New Roman"/>
                <w:sz w:val="18"/>
              </w:rPr>
              <w:t>1.199,8</w:t>
            </w:r>
          </w:p>
        </w:tc>
        <w:tc>
          <w:tcPr>
            <w:tcW w:w="690" w:type="pct"/>
            <w:vAlign w:val="bottom"/>
          </w:tcPr>
          <w:p w:rsidR="00C36434" w:rsidRDefault="00F03B32">
            <w:pPr>
              <w:spacing w:after="0" w:line="240" w:lineRule="auto"/>
              <w:jc w:val="right"/>
            </w:pPr>
            <w:r>
              <w:rPr>
                <w:rFonts w:ascii="Times New Roman" w:hAnsi="Times New Roman" w:cs="Times New Roman"/>
                <w:sz w:val="18"/>
              </w:rPr>
              <w:t>89,2</w:t>
            </w:r>
          </w:p>
        </w:tc>
      </w:tr>
    </w:tbl>
    <w:p w:rsidR="00C36434" w:rsidRDefault="00C36434">
      <w:pPr>
        <w:spacing w:after="0" w:line="240" w:lineRule="auto"/>
      </w:pPr>
    </w:p>
    <w:p w:rsidR="003E2C22" w:rsidRDefault="00F03B32" w:rsidP="003E2C22">
      <w:pPr>
        <w:spacing w:line="240" w:lineRule="auto"/>
        <w:jc w:val="both"/>
        <w:rPr>
          <w:rFonts w:ascii="Times New Roman" w:hAnsi="Times New Roman" w:cs="Times New Roman"/>
          <w:sz w:val="24"/>
        </w:rPr>
      </w:pPr>
      <w:r>
        <w:rPr>
          <w:rFonts w:ascii="Times New Roman" w:hAnsi="Times New Roman" w:cs="Times New Roman"/>
          <w:sz w:val="24"/>
        </w:rPr>
        <w:t>Program obnove i modernizacije željezničkog čvorišta Zagreb obuhvaća radove građevinskog infrastrukturnog podsustava za pružne građevine i obnovu pruga u čvoru Zagreb. Predmetni radovi su u tijeku i financirani su iz sredstava Državnog proračuna. Ostvarenje ovog programa je na nivou 89,22% planiranih sredstava. </w:t>
      </w:r>
    </w:p>
    <w:p w:rsidR="003E2C22" w:rsidRPr="008A5C2A" w:rsidRDefault="003E2C22" w:rsidP="008A5C2A">
      <w:pPr>
        <w:spacing w:after="0" w:line="240" w:lineRule="auto"/>
        <w:jc w:val="both"/>
        <w:rPr>
          <w:rFonts w:ascii="Times New Roman" w:hAnsi="Times New Roman" w:cs="Times New Roman"/>
          <w:b/>
          <w:sz w:val="24"/>
          <w:u w:val="single"/>
        </w:rPr>
      </w:pPr>
    </w:p>
    <w:p w:rsidR="00C36434" w:rsidRDefault="00F03B32">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r>
              <w:rPr>
                <w:rFonts w:ascii="Times New Roman" w:hAnsi="Times New Roman" w:cs="Times New Roman"/>
                <w:sz w:val="18"/>
              </w:rPr>
              <w:t>Broj obnovljenih kilometara željezničkih kolosijeka na prugama</w:t>
            </w:r>
          </w:p>
        </w:tc>
        <w:tc>
          <w:tcPr>
            <w:tcW w:w="550" w:type="pct"/>
            <w:vAlign w:val="center"/>
          </w:tcPr>
          <w:p w:rsidR="00C36434" w:rsidRDefault="00F03B32">
            <w:pPr>
              <w:spacing w:after="0" w:line="240" w:lineRule="auto"/>
              <w:jc w:val="center"/>
            </w:pPr>
            <w:r>
              <w:rPr>
                <w:rFonts w:ascii="Times New Roman" w:hAnsi="Times New Roman" w:cs="Times New Roman"/>
                <w:sz w:val="18"/>
              </w:rPr>
              <w:t>Izvedeni radovi na obnovi kolosijeka željezničkih pruga u Čvoru Zagreb</w:t>
            </w:r>
          </w:p>
        </w:tc>
        <w:tc>
          <w:tcPr>
            <w:tcW w:w="550" w:type="pct"/>
            <w:vAlign w:val="center"/>
          </w:tcPr>
          <w:p w:rsidR="00C36434" w:rsidRDefault="00F03B32">
            <w:pPr>
              <w:spacing w:after="0" w:line="240" w:lineRule="auto"/>
              <w:jc w:val="center"/>
            </w:pPr>
            <w:r>
              <w:rPr>
                <w:rFonts w:ascii="Times New Roman" w:hAnsi="Times New Roman" w:cs="Times New Roman"/>
                <w:sz w:val="18"/>
              </w:rPr>
              <w:t>km</w:t>
            </w:r>
          </w:p>
        </w:tc>
        <w:tc>
          <w:tcPr>
            <w:tcW w:w="550" w:type="pct"/>
            <w:vAlign w:val="center"/>
          </w:tcPr>
          <w:p w:rsidR="00C36434" w:rsidRDefault="00F03B32">
            <w:pPr>
              <w:spacing w:after="0" w:line="240" w:lineRule="auto"/>
              <w:jc w:val="right"/>
            </w:pPr>
            <w:r>
              <w:rPr>
                <w:rFonts w:ascii="Times New Roman" w:hAnsi="Times New Roman" w:cs="Times New Roman"/>
                <w:sz w:val="18"/>
              </w:rPr>
              <w:t>0,0</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3,0</w:t>
            </w:r>
          </w:p>
        </w:tc>
        <w:tc>
          <w:tcPr>
            <w:tcW w:w="550" w:type="pct"/>
            <w:vAlign w:val="center"/>
          </w:tcPr>
          <w:p w:rsidR="00C36434" w:rsidRDefault="00E83122" w:rsidP="00E83122">
            <w:pPr>
              <w:spacing w:after="0" w:line="240" w:lineRule="auto"/>
              <w:jc w:val="right"/>
            </w:pPr>
            <w:r w:rsidRPr="00E83122">
              <w:rPr>
                <w:rFonts w:ascii="Times New Roman" w:hAnsi="Times New Roman" w:cs="Times New Roman"/>
                <w:sz w:val="18"/>
              </w:rPr>
              <w:t>16,</w:t>
            </w:r>
            <w:r w:rsidRPr="00E83122">
              <w:rPr>
                <w:rFonts w:ascii="Times New Roman" w:hAnsi="Times New Roman" w:cs="Times New Roman"/>
                <w:sz w:val="18"/>
              </w:rPr>
              <w:t>5</w:t>
            </w:r>
          </w:p>
        </w:tc>
      </w:tr>
    </w:tbl>
    <w:p w:rsidR="00C36434" w:rsidRDefault="00C36434">
      <w:pPr>
        <w:spacing w:after="0" w:line="240" w:lineRule="auto"/>
      </w:pPr>
    </w:p>
    <w:p w:rsidR="00C36434" w:rsidRDefault="00F03B32">
      <w:pPr>
        <w:spacing w:line="240" w:lineRule="auto"/>
      </w:pPr>
      <w:r>
        <w:rPr>
          <w:rFonts w:ascii="Times New Roman" w:hAnsi="Times New Roman" w:cs="Times New Roman"/>
          <w:b/>
          <w:u w:val="single"/>
        </w:rPr>
        <w:br/>
        <w:t>K110008 PROGRAM AKTIVNOSTI U FUNKCIJI INFRASTRUKTURE I PROMETA NA MREŽI KAO CJELINE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K110008</w:t>
            </w:r>
          </w:p>
        </w:tc>
        <w:tc>
          <w:tcPr>
            <w:tcW w:w="690" w:type="pct"/>
            <w:vAlign w:val="bottom"/>
          </w:tcPr>
          <w:p w:rsidR="00C36434" w:rsidRDefault="00F03B32">
            <w:pPr>
              <w:spacing w:after="0" w:line="240" w:lineRule="auto"/>
              <w:jc w:val="right"/>
            </w:pPr>
            <w:r>
              <w:rPr>
                <w:rFonts w:ascii="Times New Roman" w:hAnsi="Times New Roman" w:cs="Times New Roman"/>
                <w:sz w:val="18"/>
              </w:rPr>
              <w:t>18.031.812</w:t>
            </w:r>
          </w:p>
        </w:tc>
        <w:tc>
          <w:tcPr>
            <w:tcW w:w="690" w:type="pct"/>
            <w:vAlign w:val="bottom"/>
          </w:tcPr>
          <w:p w:rsidR="00C36434" w:rsidRDefault="00F03B32">
            <w:pPr>
              <w:spacing w:after="0" w:line="240" w:lineRule="auto"/>
              <w:jc w:val="right"/>
            </w:pPr>
            <w:r>
              <w:rPr>
                <w:rFonts w:ascii="Times New Roman" w:hAnsi="Times New Roman" w:cs="Times New Roman"/>
                <w:sz w:val="18"/>
              </w:rPr>
              <w:t>22.297.000</w:t>
            </w:r>
          </w:p>
        </w:tc>
        <w:tc>
          <w:tcPr>
            <w:tcW w:w="690" w:type="pct"/>
            <w:vAlign w:val="bottom"/>
          </w:tcPr>
          <w:p w:rsidR="00C36434" w:rsidRDefault="00F03B32">
            <w:pPr>
              <w:spacing w:after="0" w:line="240" w:lineRule="auto"/>
              <w:jc w:val="right"/>
            </w:pPr>
            <w:r>
              <w:rPr>
                <w:rFonts w:ascii="Times New Roman" w:hAnsi="Times New Roman" w:cs="Times New Roman"/>
                <w:sz w:val="18"/>
              </w:rPr>
              <w:t>22.983.929</w:t>
            </w:r>
          </w:p>
        </w:tc>
        <w:tc>
          <w:tcPr>
            <w:tcW w:w="690" w:type="pct"/>
            <w:vAlign w:val="bottom"/>
          </w:tcPr>
          <w:p w:rsidR="00C36434" w:rsidRDefault="00F03B32">
            <w:pPr>
              <w:spacing w:after="0" w:line="240" w:lineRule="auto"/>
              <w:jc w:val="right"/>
            </w:pPr>
            <w:r>
              <w:rPr>
                <w:rFonts w:ascii="Times New Roman" w:hAnsi="Times New Roman" w:cs="Times New Roman"/>
                <w:sz w:val="18"/>
              </w:rPr>
              <w:t>127,5</w:t>
            </w:r>
          </w:p>
        </w:tc>
        <w:tc>
          <w:tcPr>
            <w:tcW w:w="690" w:type="pct"/>
            <w:vAlign w:val="bottom"/>
          </w:tcPr>
          <w:p w:rsidR="00C36434" w:rsidRDefault="00F03B32">
            <w:pPr>
              <w:spacing w:after="0" w:line="240" w:lineRule="auto"/>
              <w:jc w:val="right"/>
            </w:pPr>
            <w:r>
              <w:rPr>
                <w:rFonts w:ascii="Times New Roman" w:hAnsi="Times New Roman" w:cs="Times New Roman"/>
                <w:sz w:val="18"/>
              </w:rPr>
              <w:t>103,1</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 xml:space="preserve">Program aktivnosti u funkciji infrastrukture i prometa na mreži obuhvaća projekte građevinskog, elektroenergetskog, prometno-upravljačkog i signalno-sigurnosnog infrastrukturnog podsustava koji se odnose na radove na željezničko-cestovnim prijelazima i pješačkim prijelazima preko pruge, zaštite okoliša, zamjene skretnica, izgradnju odnosno rekonstrukciju stajališta, rekonstrukcije rasvjete, kolodvorskih zgrada, signalno-sigurnosnih uređaja i sličnih  projekata s ciljem unapređenja tehnologije. Isto tako u tom programu je projekt prilagodbe željezničkih graničnih prijelaza za provedbu schengenske pravne stečevine te priprema studijske, investicijske i tehničke dokumentacije. </w:t>
      </w:r>
    </w:p>
    <w:p w:rsidR="00C36434" w:rsidRDefault="00F03B32">
      <w:pPr>
        <w:spacing w:line="240" w:lineRule="auto"/>
        <w:jc w:val="both"/>
      </w:pPr>
      <w:r>
        <w:rPr>
          <w:rFonts w:ascii="Times New Roman" w:hAnsi="Times New Roman" w:cs="Times New Roman"/>
          <w:sz w:val="24"/>
        </w:rPr>
        <w:lastRenderedPageBreak/>
        <w:t>Od ukupno realiziranih rashoda 49,44% odnosi se na rashode vezane za prometno-upravljački i signalno-sigurnosni infrastrukturni podsustav, 42,49% za građevinski i elektroenergetski infrastrukturni podsustav, 0,39% na rješavanje imovinsko pravnih odnosa te 7,68% na  pripremu studijske, investicijske i tehničke dokumentacije.</w:t>
      </w:r>
    </w:p>
    <w:p w:rsidR="00C36434" w:rsidRDefault="00F03B32">
      <w:pPr>
        <w:spacing w:line="240" w:lineRule="auto"/>
        <w:jc w:val="both"/>
      </w:pPr>
      <w:r>
        <w:rPr>
          <w:rFonts w:ascii="Times New Roman" w:hAnsi="Times New Roman" w:cs="Times New Roman"/>
          <w:sz w:val="24"/>
        </w:rPr>
        <w:t>Projekti iz ove aktivnosti u 2025. godini financirani su iz sredstava EU fondova (PPK i CEF) i iz sredstava Državnog proračuna.</w:t>
      </w:r>
    </w:p>
    <w:p w:rsidR="00C36434" w:rsidRDefault="00F03B32">
      <w:pPr>
        <w:spacing w:line="240" w:lineRule="auto"/>
        <w:jc w:val="both"/>
      </w:pPr>
      <w:r>
        <w:rPr>
          <w:rFonts w:ascii="Times New Roman" w:hAnsi="Times New Roman" w:cs="Times New Roman"/>
          <w:sz w:val="24"/>
        </w:rPr>
        <w:t>U odnosu na prethodnu godinu realizirano je za 27,46%</w:t>
      </w:r>
      <w:r w:rsidR="00C22282" w:rsidRPr="00C22282">
        <w:rPr>
          <w:rFonts w:ascii="Times New Roman" w:hAnsi="Times New Roman" w:cs="Times New Roman"/>
          <w:sz w:val="24"/>
        </w:rPr>
        <w:t xml:space="preserve"> </w:t>
      </w:r>
      <w:r w:rsidR="00C22282">
        <w:rPr>
          <w:rFonts w:ascii="Times New Roman" w:hAnsi="Times New Roman" w:cs="Times New Roman"/>
          <w:sz w:val="24"/>
        </w:rPr>
        <w:t>više</w:t>
      </w:r>
      <w:r>
        <w:rPr>
          <w:rFonts w:ascii="Times New Roman" w:hAnsi="Times New Roman" w:cs="Times New Roman"/>
          <w:sz w:val="24"/>
        </w:rPr>
        <w:t>, a u odnosu na plan za 3,08%</w:t>
      </w:r>
      <w:r w:rsidR="00C22282" w:rsidRPr="00C22282">
        <w:rPr>
          <w:rFonts w:ascii="Times New Roman" w:hAnsi="Times New Roman" w:cs="Times New Roman"/>
          <w:sz w:val="24"/>
        </w:rPr>
        <w:t xml:space="preserve"> </w:t>
      </w:r>
      <w:r w:rsidR="00C22282">
        <w:rPr>
          <w:rFonts w:ascii="Times New Roman" w:hAnsi="Times New Roman" w:cs="Times New Roman"/>
          <w:sz w:val="24"/>
        </w:rPr>
        <w:t>više</w:t>
      </w:r>
      <w:r>
        <w:rPr>
          <w:rFonts w:ascii="Times New Roman" w:hAnsi="Times New Roman" w:cs="Times New Roman"/>
          <w:sz w:val="24"/>
        </w:rPr>
        <w:t>.</w:t>
      </w:r>
    </w:p>
    <w:p w:rsidR="00C36434" w:rsidRDefault="00F03B32">
      <w:pPr>
        <w:spacing w:line="240" w:lineRule="auto"/>
        <w:jc w:val="both"/>
      </w:pPr>
      <w:r>
        <w:rPr>
          <w:rFonts w:ascii="Times New Roman" w:hAnsi="Times New Roman" w:cs="Times New Roman"/>
          <w:sz w:val="24"/>
        </w:rPr>
        <w:t xml:space="preserve">Za pokazatelj broj ugrađenih mjernih stanica je u 2025. godini na </w:t>
      </w:r>
      <w:r w:rsidR="00F630E0">
        <w:rPr>
          <w:rFonts w:ascii="Times New Roman" w:hAnsi="Times New Roman" w:cs="Times New Roman"/>
          <w:sz w:val="24"/>
        </w:rPr>
        <w:t>dvije</w:t>
      </w:r>
      <w:r>
        <w:rPr>
          <w:rFonts w:ascii="Times New Roman" w:hAnsi="Times New Roman" w:cs="Times New Roman"/>
          <w:sz w:val="24"/>
        </w:rPr>
        <w:t xml:space="preserve"> mjerne stanice ugrađena oprema i završeni </w:t>
      </w:r>
      <w:r w:rsidR="00F630E0">
        <w:rPr>
          <w:rFonts w:ascii="Times New Roman" w:hAnsi="Times New Roman" w:cs="Times New Roman"/>
          <w:sz w:val="24"/>
        </w:rPr>
        <w:t xml:space="preserve">su </w:t>
      </w:r>
      <w:r>
        <w:rPr>
          <w:rFonts w:ascii="Times New Roman" w:hAnsi="Times New Roman" w:cs="Times New Roman"/>
          <w:sz w:val="24"/>
        </w:rPr>
        <w:t>radovi. Početak radova za zadnjoj preostaloj mjernoj stanici planiran je nakon dobivanja Uporabne dozvole na projektu Križevci - Koprivnica - DG.</w:t>
      </w:r>
    </w:p>
    <w:p w:rsidR="00C36434" w:rsidRDefault="00F03B32">
      <w:pPr>
        <w:spacing w:line="240" w:lineRule="auto"/>
        <w:jc w:val="both"/>
      </w:pPr>
      <w:r>
        <w:rPr>
          <w:rFonts w:ascii="Times New Roman" w:hAnsi="Times New Roman" w:cs="Times New Roman"/>
          <w:sz w:val="24"/>
        </w:rPr>
        <w:t>Pokazatelj broj osiguranih i moderniziranih željezničko-cestovnih prijelaza u 2025. godini ima realiziranu vrijednost pokazatelja 35. Nastavak osiguranja i modernizacije željezničko-cestovnih prijelaza planira se i u idućem razdoblju.</w:t>
      </w:r>
    </w:p>
    <w:p w:rsidR="00C36434" w:rsidRDefault="00F03B32">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3"/>
        <w:gridCol w:w="1210"/>
        <w:gridCol w:w="1157"/>
        <w:gridCol w:w="1157"/>
        <w:gridCol w:w="1157"/>
        <w:gridCol w:w="1157"/>
        <w:gridCol w:w="1153"/>
      </w:tblGrid>
      <w:tr w:rsidR="00C36434" w:rsidTr="00E83122">
        <w:tc>
          <w:tcPr>
            <w:tcW w:w="1114"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673"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643"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643"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643"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643"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643"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E83122" w:rsidTr="00E83122">
        <w:tc>
          <w:tcPr>
            <w:tcW w:w="1114" w:type="pct"/>
            <w:vAlign w:val="center"/>
          </w:tcPr>
          <w:p w:rsidR="00E83122" w:rsidRDefault="00E83122" w:rsidP="00E83122">
            <w:pPr>
              <w:spacing w:after="0" w:line="240" w:lineRule="auto"/>
              <w:jc w:val="center"/>
            </w:pPr>
            <w:r>
              <w:rPr>
                <w:rFonts w:ascii="Times New Roman" w:hAnsi="Times New Roman" w:cs="Times New Roman"/>
                <w:sz w:val="18"/>
              </w:rPr>
              <w:t>Broj  osiguranih i moderniziranih željezničko-cestovnih prijelaza</w:t>
            </w:r>
          </w:p>
        </w:tc>
        <w:tc>
          <w:tcPr>
            <w:tcW w:w="673" w:type="pct"/>
            <w:vAlign w:val="center"/>
          </w:tcPr>
          <w:p w:rsidR="00E83122" w:rsidRDefault="00E83122" w:rsidP="00E83122">
            <w:pPr>
              <w:spacing w:after="0" w:line="240" w:lineRule="auto"/>
              <w:jc w:val="center"/>
            </w:pPr>
            <w:r>
              <w:rPr>
                <w:rFonts w:ascii="Times New Roman" w:hAnsi="Times New Roman" w:cs="Times New Roman"/>
                <w:sz w:val="18"/>
              </w:rPr>
              <w:t>Osigurani i modernizirani željezničko-cestovni prijelazi automatskim elektroničkim signalno-sigurnosnim uređajima na prugama za međunarodni, regionalni i lokalni promet</w:t>
            </w:r>
          </w:p>
        </w:tc>
        <w:tc>
          <w:tcPr>
            <w:tcW w:w="643" w:type="pct"/>
            <w:vAlign w:val="center"/>
          </w:tcPr>
          <w:p w:rsidR="00E83122" w:rsidRDefault="00E83122" w:rsidP="00E83122">
            <w:pPr>
              <w:spacing w:after="0" w:line="240" w:lineRule="auto"/>
              <w:jc w:val="center"/>
            </w:pPr>
            <w:r>
              <w:rPr>
                <w:rFonts w:ascii="Times New Roman" w:hAnsi="Times New Roman" w:cs="Times New Roman"/>
                <w:sz w:val="18"/>
              </w:rPr>
              <w:t>broj</w:t>
            </w:r>
          </w:p>
        </w:tc>
        <w:tc>
          <w:tcPr>
            <w:tcW w:w="643" w:type="pct"/>
            <w:vAlign w:val="center"/>
          </w:tcPr>
          <w:p w:rsidR="00E83122" w:rsidRDefault="00E83122" w:rsidP="00E83122">
            <w:pPr>
              <w:spacing w:after="0" w:line="240" w:lineRule="auto"/>
              <w:jc w:val="right"/>
            </w:pPr>
            <w:r>
              <w:rPr>
                <w:rFonts w:ascii="Times New Roman" w:hAnsi="Times New Roman" w:cs="Times New Roman"/>
                <w:sz w:val="18"/>
              </w:rPr>
              <w:t>0,0</w:t>
            </w:r>
          </w:p>
        </w:tc>
        <w:tc>
          <w:tcPr>
            <w:tcW w:w="643" w:type="pct"/>
            <w:vAlign w:val="center"/>
          </w:tcPr>
          <w:p w:rsidR="00E83122" w:rsidRDefault="00E83122" w:rsidP="00E83122">
            <w:pPr>
              <w:spacing w:after="0" w:line="240" w:lineRule="auto"/>
              <w:jc w:val="center"/>
            </w:pPr>
            <w:r>
              <w:rPr>
                <w:rFonts w:ascii="Times New Roman" w:hAnsi="Times New Roman" w:cs="Times New Roman"/>
                <w:sz w:val="18"/>
              </w:rPr>
              <w:t>HŽI</w:t>
            </w:r>
          </w:p>
        </w:tc>
        <w:tc>
          <w:tcPr>
            <w:tcW w:w="643" w:type="pct"/>
            <w:vAlign w:val="center"/>
          </w:tcPr>
          <w:p w:rsidR="00E83122" w:rsidRDefault="00E83122" w:rsidP="00E83122">
            <w:pPr>
              <w:spacing w:after="0" w:line="240" w:lineRule="auto"/>
              <w:jc w:val="right"/>
            </w:pPr>
            <w:r>
              <w:rPr>
                <w:rFonts w:ascii="Times New Roman" w:hAnsi="Times New Roman" w:cs="Times New Roman"/>
                <w:sz w:val="18"/>
              </w:rPr>
              <w:t>10,0</w:t>
            </w:r>
          </w:p>
        </w:tc>
        <w:tc>
          <w:tcPr>
            <w:tcW w:w="643" w:type="pct"/>
            <w:vAlign w:val="center"/>
          </w:tcPr>
          <w:p w:rsidR="00E83122" w:rsidRPr="00E83122" w:rsidRDefault="00E83122" w:rsidP="00E83122">
            <w:pPr>
              <w:spacing w:after="0" w:line="240" w:lineRule="auto"/>
              <w:jc w:val="right"/>
              <w:rPr>
                <w:rFonts w:ascii="Times New Roman" w:hAnsi="Times New Roman" w:cs="Times New Roman"/>
                <w:sz w:val="18"/>
              </w:rPr>
            </w:pPr>
            <w:r w:rsidRPr="00E83122">
              <w:rPr>
                <w:rFonts w:ascii="Times New Roman" w:hAnsi="Times New Roman" w:cs="Times New Roman"/>
                <w:sz w:val="18"/>
              </w:rPr>
              <w:t>35</w:t>
            </w:r>
            <w:r w:rsidRPr="00E83122">
              <w:rPr>
                <w:rFonts w:ascii="Times New Roman" w:hAnsi="Times New Roman" w:cs="Times New Roman"/>
                <w:sz w:val="18"/>
              </w:rPr>
              <w:t>,0</w:t>
            </w:r>
          </w:p>
        </w:tc>
      </w:tr>
      <w:tr w:rsidR="00E83122" w:rsidTr="00E83122">
        <w:tc>
          <w:tcPr>
            <w:tcW w:w="1114" w:type="pct"/>
            <w:vAlign w:val="center"/>
          </w:tcPr>
          <w:p w:rsidR="00E83122" w:rsidRDefault="00E83122" w:rsidP="00E83122">
            <w:pPr>
              <w:spacing w:after="0" w:line="240" w:lineRule="auto"/>
              <w:jc w:val="center"/>
            </w:pPr>
            <w:r>
              <w:rPr>
                <w:rFonts w:ascii="Times New Roman" w:hAnsi="Times New Roman" w:cs="Times New Roman"/>
                <w:sz w:val="18"/>
              </w:rPr>
              <w:t>Broj ugrađenih  mjernih stanica</w:t>
            </w:r>
          </w:p>
        </w:tc>
        <w:tc>
          <w:tcPr>
            <w:tcW w:w="673" w:type="pct"/>
            <w:vAlign w:val="center"/>
          </w:tcPr>
          <w:p w:rsidR="00E83122" w:rsidRDefault="00E83122" w:rsidP="00E83122">
            <w:pPr>
              <w:spacing w:after="0" w:line="240" w:lineRule="auto"/>
              <w:jc w:val="center"/>
            </w:pPr>
            <w:r>
              <w:rPr>
                <w:rFonts w:ascii="Times New Roman" w:hAnsi="Times New Roman" w:cs="Times New Roman"/>
                <w:sz w:val="18"/>
              </w:rPr>
              <w:t>Izvedeni radovi s brojem lokacija sa ugrađenim mjernim stanicama</w:t>
            </w:r>
          </w:p>
        </w:tc>
        <w:tc>
          <w:tcPr>
            <w:tcW w:w="643" w:type="pct"/>
            <w:vAlign w:val="center"/>
          </w:tcPr>
          <w:p w:rsidR="00E83122" w:rsidRDefault="00E83122" w:rsidP="00E83122">
            <w:pPr>
              <w:spacing w:after="0" w:line="240" w:lineRule="auto"/>
              <w:jc w:val="center"/>
            </w:pPr>
            <w:r>
              <w:rPr>
                <w:rFonts w:ascii="Times New Roman" w:hAnsi="Times New Roman" w:cs="Times New Roman"/>
                <w:sz w:val="18"/>
              </w:rPr>
              <w:t>broj</w:t>
            </w:r>
          </w:p>
        </w:tc>
        <w:tc>
          <w:tcPr>
            <w:tcW w:w="643" w:type="pct"/>
            <w:vAlign w:val="center"/>
          </w:tcPr>
          <w:p w:rsidR="00E83122" w:rsidRDefault="00E83122" w:rsidP="00E83122">
            <w:pPr>
              <w:spacing w:after="0" w:line="240" w:lineRule="auto"/>
              <w:jc w:val="right"/>
            </w:pPr>
            <w:r>
              <w:rPr>
                <w:rFonts w:ascii="Times New Roman" w:hAnsi="Times New Roman" w:cs="Times New Roman"/>
                <w:sz w:val="18"/>
              </w:rPr>
              <w:t>0,0</w:t>
            </w:r>
          </w:p>
        </w:tc>
        <w:tc>
          <w:tcPr>
            <w:tcW w:w="643" w:type="pct"/>
            <w:vAlign w:val="center"/>
          </w:tcPr>
          <w:p w:rsidR="00E83122" w:rsidRDefault="00E83122" w:rsidP="00E83122">
            <w:pPr>
              <w:spacing w:after="0" w:line="240" w:lineRule="auto"/>
              <w:jc w:val="center"/>
            </w:pPr>
            <w:r>
              <w:rPr>
                <w:rFonts w:ascii="Times New Roman" w:hAnsi="Times New Roman" w:cs="Times New Roman"/>
                <w:sz w:val="18"/>
              </w:rPr>
              <w:t>HŽI</w:t>
            </w:r>
          </w:p>
        </w:tc>
        <w:tc>
          <w:tcPr>
            <w:tcW w:w="643" w:type="pct"/>
            <w:vAlign w:val="center"/>
          </w:tcPr>
          <w:p w:rsidR="00E83122" w:rsidRDefault="00E83122" w:rsidP="00E83122">
            <w:pPr>
              <w:spacing w:after="0" w:line="240" w:lineRule="auto"/>
              <w:jc w:val="right"/>
            </w:pPr>
            <w:r>
              <w:rPr>
                <w:rFonts w:ascii="Times New Roman" w:hAnsi="Times New Roman" w:cs="Times New Roman"/>
                <w:sz w:val="18"/>
              </w:rPr>
              <w:t>3,0</w:t>
            </w:r>
          </w:p>
        </w:tc>
        <w:tc>
          <w:tcPr>
            <w:tcW w:w="643" w:type="pct"/>
            <w:vAlign w:val="center"/>
          </w:tcPr>
          <w:p w:rsidR="00E83122" w:rsidRPr="00E83122" w:rsidRDefault="00E83122" w:rsidP="00E83122">
            <w:pPr>
              <w:spacing w:after="0" w:line="240" w:lineRule="auto"/>
              <w:jc w:val="right"/>
              <w:rPr>
                <w:rFonts w:ascii="Times New Roman" w:hAnsi="Times New Roman" w:cs="Times New Roman"/>
                <w:sz w:val="18"/>
              </w:rPr>
            </w:pPr>
            <w:r w:rsidRPr="00E83122">
              <w:rPr>
                <w:rFonts w:ascii="Times New Roman" w:hAnsi="Times New Roman" w:cs="Times New Roman"/>
                <w:sz w:val="18"/>
              </w:rPr>
              <w:t>2,0</w:t>
            </w:r>
          </w:p>
        </w:tc>
      </w:tr>
    </w:tbl>
    <w:p w:rsidR="00C36434" w:rsidRDefault="00C36434">
      <w:pPr>
        <w:spacing w:after="0" w:line="240" w:lineRule="auto"/>
      </w:pPr>
    </w:p>
    <w:p w:rsidR="00C36434" w:rsidRDefault="00F03B32">
      <w:pPr>
        <w:spacing w:line="240" w:lineRule="auto"/>
      </w:pPr>
      <w:r>
        <w:rPr>
          <w:rFonts w:ascii="Times New Roman" w:hAnsi="Times New Roman" w:cs="Times New Roman"/>
          <w:b/>
          <w:u w:val="single"/>
        </w:rPr>
        <w:br/>
        <w:t>K110009 IZGRADNJA NOVIH PRUGA I KOLOSIJEKA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C36434">
        <w:tc>
          <w:tcPr>
            <w:tcW w:w="980" w:type="pct"/>
            <w:shd w:val="clear" w:color="auto" w:fill="BCDFFB"/>
            <w:vAlign w:val="center"/>
          </w:tcPr>
          <w:p w:rsidR="00C36434" w:rsidRDefault="00C36434">
            <w:pPr>
              <w:spacing w:after="0" w:line="240" w:lineRule="auto"/>
              <w:jc w:val="center"/>
            </w:pP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Indeks</w:t>
            </w:r>
          </w:p>
        </w:tc>
      </w:tr>
      <w:tr w:rsidR="00C36434">
        <w:tc>
          <w:tcPr>
            <w:tcW w:w="1400" w:type="pct"/>
            <w:shd w:val="clear" w:color="auto" w:fill="BCDFFB"/>
            <w:vAlign w:val="center"/>
          </w:tcPr>
          <w:p w:rsidR="00C36434" w:rsidRDefault="00F03B32">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C36434" w:rsidRDefault="00F03B32">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C36434" w:rsidRDefault="00F03B32">
            <w:pPr>
              <w:spacing w:after="0" w:line="240" w:lineRule="auto"/>
              <w:jc w:val="center"/>
            </w:pPr>
            <w:r>
              <w:rPr>
                <w:rFonts w:ascii="Times New Roman" w:hAnsi="Times New Roman" w:cs="Times New Roman"/>
                <w:sz w:val="14"/>
              </w:rPr>
              <w:t>6=4/3</w:t>
            </w:r>
          </w:p>
        </w:tc>
      </w:tr>
      <w:tr w:rsidR="00C36434">
        <w:tc>
          <w:tcPr>
            <w:tcW w:w="980" w:type="pct"/>
            <w:vAlign w:val="center"/>
          </w:tcPr>
          <w:p w:rsidR="00C36434" w:rsidRDefault="00F03B32">
            <w:pPr>
              <w:spacing w:after="0" w:line="240" w:lineRule="auto"/>
            </w:pPr>
            <w:r>
              <w:rPr>
                <w:rFonts w:ascii="Times New Roman" w:hAnsi="Times New Roman" w:cs="Times New Roman"/>
                <w:sz w:val="18"/>
              </w:rPr>
              <w:t>K110009</w:t>
            </w:r>
          </w:p>
        </w:tc>
        <w:tc>
          <w:tcPr>
            <w:tcW w:w="690" w:type="pct"/>
            <w:vAlign w:val="bottom"/>
          </w:tcPr>
          <w:p w:rsidR="00C36434" w:rsidRDefault="00F03B32">
            <w:pPr>
              <w:spacing w:after="0" w:line="240" w:lineRule="auto"/>
              <w:jc w:val="right"/>
            </w:pPr>
            <w:r>
              <w:rPr>
                <w:rFonts w:ascii="Times New Roman" w:hAnsi="Times New Roman" w:cs="Times New Roman"/>
                <w:sz w:val="18"/>
              </w:rPr>
              <w:t>96.889.648</w:t>
            </w:r>
          </w:p>
        </w:tc>
        <w:tc>
          <w:tcPr>
            <w:tcW w:w="690" w:type="pct"/>
            <w:vAlign w:val="bottom"/>
          </w:tcPr>
          <w:p w:rsidR="00C36434" w:rsidRDefault="00F03B32">
            <w:pPr>
              <w:spacing w:after="0" w:line="240" w:lineRule="auto"/>
              <w:jc w:val="right"/>
            </w:pPr>
            <w:r>
              <w:rPr>
                <w:rFonts w:ascii="Times New Roman" w:hAnsi="Times New Roman" w:cs="Times New Roman"/>
                <w:sz w:val="18"/>
              </w:rPr>
              <w:t>106.567.300</w:t>
            </w:r>
          </w:p>
        </w:tc>
        <w:tc>
          <w:tcPr>
            <w:tcW w:w="690" w:type="pct"/>
            <w:vAlign w:val="bottom"/>
          </w:tcPr>
          <w:p w:rsidR="00C36434" w:rsidRDefault="00F03B32">
            <w:pPr>
              <w:spacing w:after="0" w:line="240" w:lineRule="auto"/>
              <w:jc w:val="right"/>
            </w:pPr>
            <w:r>
              <w:rPr>
                <w:rFonts w:ascii="Times New Roman" w:hAnsi="Times New Roman" w:cs="Times New Roman"/>
                <w:sz w:val="18"/>
              </w:rPr>
              <w:t>96.937.601</w:t>
            </w:r>
          </w:p>
        </w:tc>
        <w:tc>
          <w:tcPr>
            <w:tcW w:w="690" w:type="pct"/>
            <w:vAlign w:val="bottom"/>
          </w:tcPr>
          <w:p w:rsidR="00C36434" w:rsidRDefault="00F03B32">
            <w:pPr>
              <w:spacing w:after="0" w:line="240" w:lineRule="auto"/>
              <w:jc w:val="right"/>
            </w:pPr>
            <w:r>
              <w:rPr>
                <w:rFonts w:ascii="Times New Roman" w:hAnsi="Times New Roman" w:cs="Times New Roman"/>
                <w:sz w:val="18"/>
              </w:rPr>
              <w:t>100,0</w:t>
            </w:r>
          </w:p>
        </w:tc>
        <w:tc>
          <w:tcPr>
            <w:tcW w:w="690" w:type="pct"/>
            <w:vAlign w:val="bottom"/>
          </w:tcPr>
          <w:p w:rsidR="00C36434" w:rsidRDefault="00F03B32">
            <w:pPr>
              <w:spacing w:after="0" w:line="240" w:lineRule="auto"/>
              <w:jc w:val="right"/>
            </w:pPr>
            <w:r>
              <w:rPr>
                <w:rFonts w:ascii="Times New Roman" w:hAnsi="Times New Roman" w:cs="Times New Roman"/>
                <w:sz w:val="18"/>
              </w:rPr>
              <w:t>91,0</w:t>
            </w:r>
          </w:p>
        </w:tc>
      </w:tr>
    </w:tbl>
    <w:p w:rsidR="00C36434" w:rsidRDefault="00C36434">
      <w:pPr>
        <w:spacing w:after="0" w:line="240" w:lineRule="auto"/>
      </w:pPr>
    </w:p>
    <w:p w:rsidR="00C36434" w:rsidRDefault="00F03B32">
      <w:pPr>
        <w:spacing w:line="240" w:lineRule="auto"/>
        <w:jc w:val="both"/>
      </w:pPr>
      <w:r>
        <w:rPr>
          <w:rFonts w:ascii="Times New Roman" w:hAnsi="Times New Roman" w:cs="Times New Roman"/>
          <w:sz w:val="24"/>
        </w:rPr>
        <w:t>Projekti iz programa izgradnje novih pruga i kolosijeka su kapitalni, strateški projekti HŽ INFRASTRUKTURE d.o.o. koji se financiraju iz sredstava EU putem Operativnog programa Konkurentnost i kohezija, Programa konkurentnost i kohezija,  Instrumenata za povezivanje Europe (CEF) i sredstava Državnog proračuna.</w:t>
      </w:r>
    </w:p>
    <w:p w:rsidR="00C36434" w:rsidRDefault="00F03B32">
      <w:pPr>
        <w:spacing w:line="240" w:lineRule="auto"/>
        <w:jc w:val="both"/>
      </w:pPr>
      <w:r>
        <w:rPr>
          <w:rFonts w:ascii="Times New Roman" w:hAnsi="Times New Roman" w:cs="Times New Roman"/>
          <w:sz w:val="24"/>
        </w:rPr>
        <w:lastRenderedPageBreak/>
        <w:t>Projekti ovog programa su:</w:t>
      </w:r>
    </w:p>
    <w:p w:rsidR="00C36434" w:rsidRDefault="00F03B32" w:rsidP="00C23703">
      <w:pPr>
        <w:pStyle w:val="Odlomakpopisa"/>
        <w:numPr>
          <w:ilvl w:val="0"/>
          <w:numId w:val="16"/>
        </w:numPr>
        <w:spacing w:line="276" w:lineRule="auto"/>
        <w:jc w:val="both"/>
      </w:pPr>
      <w:r w:rsidRPr="005533F4">
        <w:rPr>
          <w:rFonts w:ascii="Times New Roman" w:hAnsi="Times New Roman" w:cs="Times New Roman"/>
          <w:sz w:val="24"/>
        </w:rPr>
        <w:t>Rekonstrukcija postojećeg i izgradnja drugog kolosijeka željezničke pruge na dionici Križevci – Koprivnica – Državna granica, pruga DG – Botovo – Dugo Selo</w:t>
      </w:r>
    </w:p>
    <w:p w:rsidR="00C36434" w:rsidRDefault="00F03B32" w:rsidP="00C23703">
      <w:pPr>
        <w:pStyle w:val="Odlomakpopisa"/>
        <w:numPr>
          <w:ilvl w:val="0"/>
          <w:numId w:val="16"/>
        </w:numPr>
        <w:spacing w:line="276" w:lineRule="auto"/>
        <w:jc w:val="both"/>
      </w:pPr>
      <w:r w:rsidRPr="005533F4">
        <w:rPr>
          <w:rFonts w:ascii="Times New Roman" w:hAnsi="Times New Roman" w:cs="Times New Roman"/>
          <w:sz w:val="24"/>
        </w:rPr>
        <w:t>Rekonstrukcija postojećeg i izgradnja drugog kolosijeka odnosno nove dvokolosiječne pruge na dijelovima dionice Hrvatski Leskovac – Karlovac</w:t>
      </w:r>
    </w:p>
    <w:p w:rsidR="00C36434" w:rsidRDefault="00F03B32" w:rsidP="00C23703">
      <w:pPr>
        <w:pStyle w:val="Odlomakpopisa"/>
        <w:numPr>
          <w:ilvl w:val="0"/>
          <w:numId w:val="16"/>
        </w:numPr>
        <w:spacing w:line="276" w:lineRule="auto"/>
        <w:jc w:val="both"/>
      </w:pPr>
      <w:r w:rsidRPr="005533F4">
        <w:rPr>
          <w:rFonts w:ascii="Times New Roman" w:hAnsi="Times New Roman" w:cs="Times New Roman"/>
          <w:sz w:val="24"/>
        </w:rPr>
        <w:t>Izgradnja drugog kolosijeka, modernizacija i obnova na pružnoj dionici Škrljevo – Rijeka – Jurdani, pruge Zagreb GK – Rijeka</w:t>
      </w:r>
    </w:p>
    <w:p w:rsidR="00C36434" w:rsidRDefault="00F03B32" w:rsidP="00C23703">
      <w:pPr>
        <w:pStyle w:val="Odlomakpopisa"/>
        <w:numPr>
          <w:ilvl w:val="0"/>
          <w:numId w:val="16"/>
        </w:numPr>
        <w:spacing w:line="276" w:lineRule="auto"/>
        <w:jc w:val="both"/>
      </w:pPr>
      <w:r w:rsidRPr="005533F4">
        <w:rPr>
          <w:rFonts w:ascii="Times New Roman" w:hAnsi="Times New Roman" w:cs="Times New Roman"/>
          <w:sz w:val="24"/>
        </w:rPr>
        <w:t>Rekonstrukcija postojećeg i izgradnja drugog kolosijeka odnosno nove dvokolosiječne pruge na dijelovima željezničke  pruge Dugo Selo - Novska (82 km)</w:t>
      </w:r>
    </w:p>
    <w:p w:rsidR="00C36434" w:rsidRDefault="00F03B32" w:rsidP="00C23703">
      <w:pPr>
        <w:pStyle w:val="Odlomakpopisa"/>
        <w:numPr>
          <w:ilvl w:val="0"/>
          <w:numId w:val="16"/>
        </w:numPr>
        <w:spacing w:line="276" w:lineRule="auto"/>
        <w:jc w:val="both"/>
      </w:pPr>
      <w:r w:rsidRPr="005533F4">
        <w:rPr>
          <w:rFonts w:ascii="Times New Roman" w:hAnsi="Times New Roman" w:cs="Times New Roman"/>
          <w:sz w:val="24"/>
        </w:rPr>
        <w:t>Rekonstrukcija postojećeg i izgradnja drugog kolosijeka na dionici Dugo Selo - Križevci, pruga GU - Botovo - Dugo Selo</w:t>
      </w:r>
    </w:p>
    <w:p w:rsidR="00C36434" w:rsidRDefault="00F03B32" w:rsidP="005533F4">
      <w:pPr>
        <w:pStyle w:val="Odlomakpopisa"/>
        <w:numPr>
          <w:ilvl w:val="0"/>
          <w:numId w:val="16"/>
        </w:numPr>
        <w:spacing w:line="240" w:lineRule="auto"/>
        <w:jc w:val="both"/>
      </w:pPr>
      <w:r w:rsidRPr="005533F4">
        <w:rPr>
          <w:rFonts w:ascii="Times New Roman" w:hAnsi="Times New Roman" w:cs="Times New Roman"/>
          <w:sz w:val="24"/>
        </w:rPr>
        <w:t>Izgradnja nove dvokolosiječne željezničke pruge na dionici Skradnik-Krasica-Tijani</w:t>
      </w:r>
    </w:p>
    <w:p w:rsidR="00C36434" w:rsidRDefault="00F03B32">
      <w:pPr>
        <w:spacing w:line="240" w:lineRule="auto"/>
        <w:jc w:val="both"/>
      </w:pPr>
      <w:r>
        <w:rPr>
          <w:rFonts w:ascii="Times New Roman" w:hAnsi="Times New Roman" w:cs="Times New Roman"/>
          <w:sz w:val="24"/>
        </w:rPr>
        <w:t>Ostvarenje ovog programa je na nivou 90,96% planiranih sredstava, a u odnosu na 2024. godinu veće je za 0,05%.</w:t>
      </w:r>
    </w:p>
    <w:p w:rsidR="00C36434" w:rsidRDefault="00F03B32">
      <w:pPr>
        <w:spacing w:line="240" w:lineRule="auto"/>
        <w:jc w:val="both"/>
      </w:pPr>
      <w:r>
        <w:rPr>
          <w:rFonts w:ascii="Times New Roman" w:hAnsi="Times New Roman" w:cs="Times New Roman"/>
          <w:sz w:val="24"/>
        </w:rPr>
        <w:t>Projekti izgradnje novih pruga i kolosijeka u 2025. g</w:t>
      </w:r>
      <w:r w:rsidR="004A78FA">
        <w:rPr>
          <w:rFonts w:ascii="Times New Roman" w:hAnsi="Times New Roman" w:cs="Times New Roman"/>
          <w:sz w:val="24"/>
        </w:rPr>
        <w:t>odini</w:t>
      </w:r>
      <w:r>
        <w:rPr>
          <w:rFonts w:ascii="Times New Roman" w:hAnsi="Times New Roman" w:cs="Times New Roman"/>
          <w:sz w:val="24"/>
        </w:rPr>
        <w:t xml:space="preserve"> financirani su iz sredstava EU fondova (PKK i CEF) i iz sredstava Državnog proračuna.</w:t>
      </w:r>
    </w:p>
    <w:p w:rsidR="00C36434" w:rsidRDefault="00F03B32">
      <w:pPr>
        <w:spacing w:line="240" w:lineRule="auto"/>
        <w:jc w:val="both"/>
      </w:pPr>
      <w:r>
        <w:rPr>
          <w:rFonts w:ascii="Times New Roman" w:hAnsi="Times New Roman" w:cs="Times New Roman"/>
          <w:sz w:val="24"/>
        </w:rPr>
        <w:t>Pokazatelj rezultata obuhvaća ostvarene km u 2025. godini na dva projekta i to: Rekonstrukcije postojećeg i izgradnje drugog kolosijeka željezničke pruge na dionici pruge Križevci - Koprivnica - DG i Rekonstrukcije postojećeg i izgradnje drugog kolosijeka željezničke pruge na dionici pruge Dugo Selo - Križevci.</w:t>
      </w:r>
    </w:p>
    <w:p w:rsidR="00C36434" w:rsidRDefault="00F03B32">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2"/>
        <w:gridCol w:w="1275"/>
        <w:gridCol w:w="1145"/>
        <w:gridCol w:w="1145"/>
        <w:gridCol w:w="1145"/>
        <w:gridCol w:w="1146"/>
        <w:gridCol w:w="1146"/>
      </w:tblGrid>
      <w:tr w:rsidR="00C36434">
        <w:tc>
          <w:tcPr>
            <w:tcW w:w="9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C36434" w:rsidRDefault="00F03B32">
            <w:pPr>
              <w:spacing w:after="0" w:line="240" w:lineRule="auto"/>
              <w:jc w:val="center"/>
            </w:pPr>
            <w:r>
              <w:rPr>
                <w:rFonts w:ascii="Times New Roman" w:hAnsi="Times New Roman" w:cs="Times New Roman"/>
                <w:b/>
                <w:sz w:val="18"/>
              </w:rPr>
              <w:t>Ostvarena vrijednost (2025.)</w:t>
            </w:r>
          </w:p>
        </w:tc>
      </w:tr>
      <w:tr w:rsidR="00C36434">
        <w:tc>
          <w:tcPr>
            <w:tcW w:w="950" w:type="pct"/>
            <w:vAlign w:val="center"/>
          </w:tcPr>
          <w:p w:rsidR="00C36434" w:rsidRDefault="00F03B32">
            <w:pPr>
              <w:spacing w:after="0" w:line="240" w:lineRule="auto"/>
              <w:jc w:val="center"/>
            </w:pPr>
            <w:bookmarkStart w:id="0" w:name="_GoBack" w:colFirst="6" w:colLast="6"/>
            <w:r>
              <w:rPr>
                <w:rFonts w:ascii="Times New Roman" w:hAnsi="Times New Roman" w:cs="Times New Roman"/>
                <w:sz w:val="18"/>
              </w:rPr>
              <w:t>Broj izgrađenih kilometara željezničkih kolosijeka na prugama</w:t>
            </w:r>
          </w:p>
        </w:tc>
        <w:tc>
          <w:tcPr>
            <w:tcW w:w="550" w:type="pct"/>
            <w:vAlign w:val="center"/>
          </w:tcPr>
          <w:p w:rsidR="00C36434" w:rsidRDefault="00F03B32">
            <w:pPr>
              <w:spacing w:after="0" w:line="240" w:lineRule="auto"/>
              <w:jc w:val="center"/>
            </w:pPr>
            <w:r>
              <w:rPr>
                <w:rFonts w:ascii="Times New Roman" w:hAnsi="Times New Roman" w:cs="Times New Roman"/>
                <w:sz w:val="18"/>
              </w:rPr>
              <w:t>Izvedeni radovi za modernizaciju, rekonstrukciju i izgradnju kolosijeka na željezničkim prugama i unaprjeđenje željezničke infrastrukture</w:t>
            </w:r>
          </w:p>
        </w:tc>
        <w:tc>
          <w:tcPr>
            <w:tcW w:w="550" w:type="pct"/>
            <w:vAlign w:val="center"/>
          </w:tcPr>
          <w:p w:rsidR="00C36434" w:rsidRDefault="00F03B32">
            <w:pPr>
              <w:spacing w:after="0" w:line="240" w:lineRule="auto"/>
              <w:jc w:val="center"/>
            </w:pPr>
            <w:r>
              <w:rPr>
                <w:rFonts w:ascii="Times New Roman" w:hAnsi="Times New Roman" w:cs="Times New Roman"/>
                <w:sz w:val="18"/>
              </w:rPr>
              <w:t>km</w:t>
            </w:r>
          </w:p>
        </w:tc>
        <w:tc>
          <w:tcPr>
            <w:tcW w:w="550" w:type="pct"/>
            <w:vAlign w:val="center"/>
          </w:tcPr>
          <w:p w:rsidR="00C36434" w:rsidRDefault="00F03B32">
            <w:pPr>
              <w:spacing w:after="0" w:line="240" w:lineRule="auto"/>
              <w:jc w:val="right"/>
            </w:pPr>
            <w:r>
              <w:rPr>
                <w:rFonts w:ascii="Times New Roman" w:hAnsi="Times New Roman" w:cs="Times New Roman"/>
                <w:sz w:val="18"/>
              </w:rPr>
              <w:t>10,8</w:t>
            </w:r>
          </w:p>
        </w:tc>
        <w:tc>
          <w:tcPr>
            <w:tcW w:w="550" w:type="pct"/>
            <w:vAlign w:val="center"/>
          </w:tcPr>
          <w:p w:rsidR="00C36434" w:rsidRDefault="00F03B32">
            <w:pPr>
              <w:spacing w:after="0" w:line="240" w:lineRule="auto"/>
              <w:jc w:val="center"/>
            </w:pPr>
            <w:r>
              <w:rPr>
                <w:rFonts w:ascii="Times New Roman" w:hAnsi="Times New Roman" w:cs="Times New Roman"/>
                <w:sz w:val="18"/>
              </w:rPr>
              <w:t>HŽI</w:t>
            </w:r>
          </w:p>
        </w:tc>
        <w:tc>
          <w:tcPr>
            <w:tcW w:w="550" w:type="pct"/>
            <w:vAlign w:val="center"/>
          </w:tcPr>
          <w:p w:rsidR="00C36434" w:rsidRDefault="00F03B32">
            <w:pPr>
              <w:spacing w:after="0" w:line="240" w:lineRule="auto"/>
              <w:jc w:val="right"/>
            </w:pPr>
            <w:r>
              <w:rPr>
                <w:rFonts w:ascii="Times New Roman" w:hAnsi="Times New Roman" w:cs="Times New Roman"/>
                <w:sz w:val="18"/>
              </w:rPr>
              <w:t>15,0</w:t>
            </w:r>
          </w:p>
        </w:tc>
        <w:tc>
          <w:tcPr>
            <w:tcW w:w="550" w:type="pct"/>
            <w:vAlign w:val="center"/>
          </w:tcPr>
          <w:p w:rsidR="00C36434" w:rsidRPr="008F376D" w:rsidRDefault="008F376D">
            <w:pPr>
              <w:spacing w:after="0" w:line="240" w:lineRule="auto"/>
              <w:jc w:val="right"/>
              <w:rPr>
                <w:rFonts w:ascii="Times New Roman" w:hAnsi="Times New Roman" w:cs="Times New Roman"/>
                <w:sz w:val="18"/>
              </w:rPr>
            </w:pPr>
            <w:r w:rsidRPr="008F376D">
              <w:rPr>
                <w:rFonts w:ascii="Times New Roman" w:hAnsi="Times New Roman" w:cs="Times New Roman"/>
                <w:sz w:val="18"/>
              </w:rPr>
              <w:t>58,3</w:t>
            </w:r>
          </w:p>
        </w:tc>
      </w:tr>
      <w:bookmarkEnd w:id="0"/>
    </w:tbl>
    <w:p w:rsidR="00C36434" w:rsidRDefault="00C36434">
      <w:pPr>
        <w:spacing w:after="0" w:line="240" w:lineRule="auto"/>
      </w:pPr>
    </w:p>
    <w:p w:rsidR="00C36434" w:rsidRDefault="00F03B32">
      <w:pPr>
        <w:spacing w:line="360" w:lineRule="auto"/>
        <w:jc w:val="center"/>
      </w:pPr>
      <w:r>
        <w:rPr>
          <w:rFonts w:ascii="Times New Roman" w:hAnsi="Times New Roman" w:cs="Times New Roman"/>
          <w:b/>
          <w:sz w:val="24"/>
          <w:u w:val="single"/>
        </w:rPr>
        <w:br/>
        <w:t>POSEBNI IZVJEŠTAJI HŽ INFRASTRUKTURE</w:t>
      </w:r>
    </w:p>
    <w:p w:rsidR="00C36434" w:rsidRDefault="00F03B32">
      <w:pPr>
        <w:spacing w:line="360" w:lineRule="auto"/>
      </w:pPr>
      <w:r>
        <w:rPr>
          <w:rFonts w:ascii="Times New Roman" w:hAnsi="Times New Roman" w:cs="Times New Roman"/>
          <w:b/>
          <w:sz w:val="24"/>
          <w:u w:val="single"/>
        </w:rPr>
        <w:br/>
        <w:t>IZVJEŠTAJ O ZADUŽIVANJU NA DOMAĆEM I STRANOM TRŽIŠTU NOVCA I KAPITALA</w:t>
      </w:r>
    </w:p>
    <w:p w:rsidR="00D57754" w:rsidRDefault="00F03B32">
      <w:pPr>
        <w:spacing w:line="240" w:lineRule="auto"/>
        <w:jc w:val="both"/>
      </w:pPr>
      <w:r>
        <w:rPr>
          <w:rFonts w:ascii="Times New Roman" w:hAnsi="Times New Roman" w:cs="Times New Roman"/>
          <w:sz w:val="24"/>
        </w:rPr>
        <w:t xml:space="preserve">U 2025. </w:t>
      </w:r>
      <w:r w:rsidR="00D57754">
        <w:rPr>
          <w:rFonts w:ascii="Times New Roman" w:hAnsi="Times New Roman" w:cs="Times New Roman"/>
          <w:sz w:val="24"/>
        </w:rPr>
        <w:t>godini</w:t>
      </w:r>
      <w:r>
        <w:rPr>
          <w:rFonts w:ascii="Times New Roman" w:hAnsi="Times New Roman" w:cs="Times New Roman"/>
          <w:sz w:val="24"/>
        </w:rPr>
        <w:t xml:space="preserve"> HŽ INFRASTRUKTURA d.o.o. sklopila je ugovor o kreditu sa 100%-tnim državnim jamstvom:</w:t>
      </w:r>
    </w:p>
    <w:tbl>
      <w:tblPr>
        <w:tblW w:w="489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51"/>
        <w:gridCol w:w="803"/>
        <w:gridCol w:w="1034"/>
        <w:gridCol w:w="960"/>
        <w:gridCol w:w="823"/>
        <w:gridCol w:w="878"/>
        <w:gridCol w:w="672"/>
        <w:gridCol w:w="803"/>
        <w:gridCol w:w="803"/>
        <w:gridCol w:w="860"/>
      </w:tblGrid>
      <w:tr w:rsidR="00BE7937" w:rsidRPr="007B4ED2" w:rsidTr="00BE7937">
        <w:trPr>
          <w:trHeight w:val="766"/>
          <w:jc w:val="center"/>
        </w:trPr>
        <w:tc>
          <w:tcPr>
            <w:tcW w:w="798"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lastRenderedPageBreak/>
              <w:t>Naziv korisnika</w:t>
            </w:r>
          </w:p>
        </w:tc>
        <w:tc>
          <w:tcPr>
            <w:tcW w:w="442"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Datum sklapanja ugovora</w:t>
            </w:r>
          </w:p>
        </w:tc>
        <w:tc>
          <w:tcPr>
            <w:tcW w:w="569"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Vrsta instrumenta</w:t>
            </w:r>
          </w:p>
        </w:tc>
        <w:tc>
          <w:tcPr>
            <w:tcW w:w="528"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Naziv</w:t>
            </w:r>
          </w:p>
        </w:tc>
        <w:tc>
          <w:tcPr>
            <w:tcW w:w="453"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Kreditor</w:t>
            </w:r>
          </w:p>
        </w:tc>
        <w:tc>
          <w:tcPr>
            <w:tcW w:w="483"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Visina odobrenog kredita</w:t>
            </w:r>
          </w:p>
        </w:tc>
        <w:tc>
          <w:tcPr>
            <w:tcW w:w="370"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Valuta</w:t>
            </w:r>
          </w:p>
        </w:tc>
        <w:tc>
          <w:tcPr>
            <w:tcW w:w="442"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Kamatna stopa</w:t>
            </w:r>
          </w:p>
        </w:tc>
        <w:tc>
          <w:tcPr>
            <w:tcW w:w="442"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Datum posljednje otplate</w:t>
            </w:r>
          </w:p>
        </w:tc>
        <w:tc>
          <w:tcPr>
            <w:tcW w:w="473" w:type="pct"/>
            <w:shd w:val="clear" w:color="000000" w:fill="F2F2F2" w:themeFill="background1" w:themeFillShade="F2"/>
            <w:vAlign w:val="center"/>
            <w:hideMark/>
          </w:tcPr>
          <w:p w:rsidR="007B4ED2" w:rsidRPr="007B4ED2" w:rsidRDefault="007B4ED2" w:rsidP="00F03B32">
            <w:pPr>
              <w:spacing w:after="0" w:line="240" w:lineRule="auto"/>
              <w:jc w:val="center"/>
              <w:rPr>
                <w:rFonts w:ascii="Times New Roman" w:eastAsia="Times New Roman" w:hAnsi="Times New Roman" w:cs="Times New Roman"/>
                <w:b/>
                <w:bCs/>
                <w:color w:val="000000"/>
                <w:sz w:val="14"/>
                <w:szCs w:val="14"/>
              </w:rPr>
            </w:pPr>
            <w:r w:rsidRPr="007B4ED2">
              <w:rPr>
                <w:rFonts w:ascii="Times New Roman" w:eastAsia="Times New Roman" w:hAnsi="Times New Roman" w:cs="Times New Roman"/>
                <w:b/>
                <w:bCs/>
                <w:color w:val="000000"/>
                <w:sz w:val="14"/>
                <w:szCs w:val="14"/>
              </w:rPr>
              <w:t>Povučena sredstva u</w:t>
            </w:r>
            <w:r w:rsidRPr="007B4ED2">
              <w:rPr>
                <w:rFonts w:ascii="Times New Roman" w:eastAsia="Times New Roman" w:hAnsi="Times New Roman" w:cs="Times New Roman"/>
                <w:b/>
                <w:bCs/>
                <w:color w:val="000000"/>
                <w:sz w:val="14"/>
                <w:szCs w:val="14"/>
              </w:rPr>
              <w:br/>
              <w:t xml:space="preserve">2025. godini </w:t>
            </w:r>
          </w:p>
        </w:tc>
      </w:tr>
      <w:tr w:rsidR="00FD6D64" w:rsidRPr="007B4ED2" w:rsidTr="00BE7937">
        <w:trPr>
          <w:trHeight w:val="506"/>
          <w:jc w:val="center"/>
        </w:trPr>
        <w:tc>
          <w:tcPr>
            <w:tcW w:w="798" w:type="pct"/>
            <w:shd w:val="clear" w:color="auto" w:fill="auto"/>
            <w:vAlign w:val="center"/>
            <w:hideMark/>
          </w:tcPr>
          <w:p w:rsidR="005E0771" w:rsidRDefault="007B4ED2" w:rsidP="00F03B32">
            <w:pPr>
              <w:spacing w:after="0" w:line="240" w:lineRule="auto"/>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 xml:space="preserve">HŽ </w:t>
            </w:r>
          </w:p>
          <w:p w:rsidR="007B4ED2" w:rsidRPr="007B4ED2" w:rsidRDefault="007B4ED2" w:rsidP="00F03B32">
            <w:pPr>
              <w:spacing w:after="0" w:line="240" w:lineRule="auto"/>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INFRASTRUKTURA d.o.o.</w:t>
            </w:r>
          </w:p>
        </w:tc>
        <w:tc>
          <w:tcPr>
            <w:tcW w:w="442" w:type="pct"/>
            <w:shd w:val="clear" w:color="auto" w:fill="auto"/>
            <w:noWrap/>
            <w:vAlign w:val="center"/>
            <w:hideMark/>
          </w:tcPr>
          <w:p w:rsidR="007B4ED2" w:rsidRPr="007B4ED2" w:rsidRDefault="007B4ED2" w:rsidP="00F03B32">
            <w:pPr>
              <w:spacing w:after="0" w:line="240" w:lineRule="auto"/>
              <w:jc w:val="center"/>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23.4.2025</w:t>
            </w:r>
          </w:p>
        </w:tc>
        <w:tc>
          <w:tcPr>
            <w:tcW w:w="569" w:type="pct"/>
            <w:shd w:val="clear" w:color="auto" w:fill="auto"/>
            <w:noWrap/>
            <w:vAlign w:val="center"/>
            <w:hideMark/>
          </w:tcPr>
          <w:p w:rsidR="007B4ED2" w:rsidRPr="007B4ED2" w:rsidRDefault="007B4ED2" w:rsidP="00F03B32">
            <w:pPr>
              <w:spacing w:after="0" w:line="240" w:lineRule="auto"/>
              <w:jc w:val="center"/>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Državno</w:t>
            </w:r>
          </w:p>
          <w:p w:rsidR="007B4ED2" w:rsidRPr="007B4ED2" w:rsidRDefault="007B4ED2" w:rsidP="00F03B32">
            <w:pPr>
              <w:spacing w:after="0" w:line="240" w:lineRule="auto"/>
              <w:jc w:val="center"/>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jamstvo</w:t>
            </w:r>
          </w:p>
        </w:tc>
        <w:tc>
          <w:tcPr>
            <w:tcW w:w="528" w:type="pct"/>
            <w:shd w:val="clear" w:color="auto" w:fill="auto"/>
            <w:vAlign w:val="center"/>
            <w:hideMark/>
          </w:tcPr>
          <w:p w:rsidR="007B4ED2" w:rsidRPr="007B4ED2" w:rsidRDefault="007B4ED2" w:rsidP="00FD6D64">
            <w:pPr>
              <w:spacing w:after="0" w:line="240" w:lineRule="auto"/>
              <w:jc w:val="center"/>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Ugovor o dugoročnom kreditu broj: 17/2025-DPVPJS</w:t>
            </w:r>
          </w:p>
        </w:tc>
        <w:tc>
          <w:tcPr>
            <w:tcW w:w="453" w:type="pct"/>
            <w:shd w:val="clear" w:color="auto" w:fill="auto"/>
            <w:vAlign w:val="center"/>
            <w:hideMark/>
          </w:tcPr>
          <w:p w:rsidR="007B4ED2" w:rsidRPr="007B4ED2" w:rsidRDefault="007B4ED2" w:rsidP="00FD6D64">
            <w:pPr>
              <w:spacing w:after="0" w:line="240" w:lineRule="auto"/>
              <w:jc w:val="center"/>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HPB d.d.</w:t>
            </w:r>
          </w:p>
        </w:tc>
        <w:tc>
          <w:tcPr>
            <w:tcW w:w="483" w:type="pct"/>
            <w:shd w:val="clear" w:color="auto" w:fill="auto"/>
            <w:vAlign w:val="center"/>
            <w:hideMark/>
          </w:tcPr>
          <w:p w:rsidR="007B4ED2" w:rsidRPr="007B4ED2" w:rsidRDefault="007B4ED2" w:rsidP="00CC1F0B">
            <w:pPr>
              <w:spacing w:after="0" w:line="240" w:lineRule="auto"/>
              <w:jc w:val="right"/>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30.000.000</w:t>
            </w:r>
          </w:p>
        </w:tc>
        <w:tc>
          <w:tcPr>
            <w:tcW w:w="370" w:type="pct"/>
            <w:shd w:val="clear" w:color="auto" w:fill="auto"/>
            <w:noWrap/>
            <w:vAlign w:val="center"/>
            <w:hideMark/>
          </w:tcPr>
          <w:p w:rsidR="007B4ED2" w:rsidRPr="007B4ED2" w:rsidRDefault="007B4ED2" w:rsidP="00F03B32">
            <w:pPr>
              <w:spacing w:after="0" w:line="240" w:lineRule="auto"/>
              <w:jc w:val="center"/>
              <w:rPr>
                <w:rFonts w:ascii="Times New Roman" w:eastAsia="Times New Roman" w:hAnsi="Times New Roman" w:cs="Times New Roman"/>
                <w:sz w:val="14"/>
                <w:szCs w:val="14"/>
              </w:rPr>
            </w:pPr>
            <w:r w:rsidRPr="007B4ED2">
              <w:rPr>
                <w:rFonts w:ascii="Times New Roman" w:eastAsia="Times New Roman" w:hAnsi="Times New Roman" w:cs="Times New Roman"/>
                <w:sz w:val="14"/>
                <w:szCs w:val="14"/>
              </w:rPr>
              <w:t>EUR</w:t>
            </w:r>
          </w:p>
        </w:tc>
        <w:tc>
          <w:tcPr>
            <w:tcW w:w="442" w:type="pct"/>
            <w:shd w:val="clear" w:color="auto" w:fill="auto"/>
            <w:vAlign w:val="center"/>
            <w:hideMark/>
          </w:tcPr>
          <w:p w:rsidR="007B4ED2" w:rsidRPr="007B4ED2" w:rsidRDefault="007B4ED2" w:rsidP="00F03B32">
            <w:pPr>
              <w:spacing w:after="0" w:line="240" w:lineRule="auto"/>
              <w:jc w:val="center"/>
              <w:rPr>
                <w:rFonts w:ascii="Times New Roman" w:eastAsia="Times New Roman" w:hAnsi="Times New Roman" w:cs="Times New Roman"/>
                <w:sz w:val="14"/>
                <w:szCs w:val="14"/>
              </w:rPr>
            </w:pPr>
            <w:r w:rsidRPr="007B4ED2">
              <w:rPr>
                <w:rFonts w:ascii="Times New Roman" w:eastAsia="Times New Roman" w:hAnsi="Times New Roman" w:cs="Times New Roman"/>
                <w:sz w:val="14"/>
                <w:szCs w:val="14"/>
              </w:rPr>
              <w:t>1,93%, godišnja, fiksna</w:t>
            </w:r>
          </w:p>
        </w:tc>
        <w:tc>
          <w:tcPr>
            <w:tcW w:w="442" w:type="pct"/>
            <w:shd w:val="clear" w:color="auto" w:fill="auto"/>
            <w:noWrap/>
            <w:vAlign w:val="center"/>
            <w:hideMark/>
          </w:tcPr>
          <w:p w:rsidR="007B4ED2" w:rsidRPr="007B4ED2" w:rsidRDefault="007B4ED2" w:rsidP="00F03B32">
            <w:pPr>
              <w:spacing w:after="0" w:line="240" w:lineRule="auto"/>
              <w:jc w:val="center"/>
              <w:rPr>
                <w:rFonts w:ascii="Times New Roman" w:eastAsia="Times New Roman" w:hAnsi="Times New Roman" w:cs="Times New Roman"/>
                <w:sz w:val="14"/>
                <w:szCs w:val="14"/>
              </w:rPr>
            </w:pPr>
            <w:r w:rsidRPr="007B4ED2">
              <w:rPr>
                <w:rFonts w:ascii="Times New Roman" w:eastAsia="Times New Roman" w:hAnsi="Times New Roman" w:cs="Times New Roman"/>
                <w:sz w:val="14"/>
                <w:szCs w:val="14"/>
              </w:rPr>
              <w:t>31.12.2027</w:t>
            </w:r>
          </w:p>
        </w:tc>
        <w:tc>
          <w:tcPr>
            <w:tcW w:w="473" w:type="pct"/>
            <w:shd w:val="clear" w:color="auto" w:fill="auto"/>
            <w:noWrap/>
            <w:vAlign w:val="center"/>
            <w:hideMark/>
          </w:tcPr>
          <w:p w:rsidR="007B4ED2" w:rsidRPr="007B4ED2" w:rsidRDefault="007B4ED2" w:rsidP="00CC1F0B">
            <w:pPr>
              <w:spacing w:after="0" w:line="240" w:lineRule="auto"/>
              <w:jc w:val="right"/>
              <w:rPr>
                <w:rFonts w:ascii="Times New Roman" w:eastAsia="Times New Roman" w:hAnsi="Times New Roman" w:cs="Times New Roman"/>
                <w:color w:val="000000"/>
                <w:sz w:val="14"/>
                <w:szCs w:val="14"/>
              </w:rPr>
            </w:pPr>
            <w:r w:rsidRPr="007B4ED2">
              <w:rPr>
                <w:rFonts w:ascii="Times New Roman" w:eastAsia="Times New Roman" w:hAnsi="Times New Roman" w:cs="Times New Roman"/>
                <w:color w:val="000000"/>
                <w:sz w:val="14"/>
                <w:szCs w:val="14"/>
              </w:rPr>
              <w:t>30.000.000</w:t>
            </w:r>
          </w:p>
        </w:tc>
      </w:tr>
    </w:tbl>
    <w:p w:rsidR="009B7BEB" w:rsidRPr="0068076C" w:rsidRDefault="009B7BEB" w:rsidP="0098364D">
      <w:pPr>
        <w:spacing w:after="0" w:line="240" w:lineRule="auto"/>
        <w:jc w:val="both"/>
        <w:rPr>
          <w:sz w:val="16"/>
        </w:rPr>
      </w:pPr>
    </w:p>
    <w:p w:rsidR="00C36434" w:rsidRDefault="00F03B32">
      <w:pPr>
        <w:spacing w:line="240" w:lineRule="auto"/>
        <w:jc w:val="both"/>
      </w:pPr>
      <w:r>
        <w:rPr>
          <w:rFonts w:ascii="Times New Roman" w:hAnsi="Times New Roman" w:cs="Times New Roman"/>
          <w:sz w:val="24"/>
        </w:rPr>
        <w:t>Predmetni kredit koristi se po revolving principu, a namjena kredita je financiranje projekata iz CEF programa kao i drugih projekata i obveza s ciljem održavanja dinamike ispunjenja financijskih obveza, vezano za dinamiku priljeva sredstava iz drugih izvora financiranja.</w:t>
      </w:r>
      <w:r w:rsidR="0068076C">
        <w:t xml:space="preserve">  </w:t>
      </w:r>
      <w:r>
        <w:rPr>
          <w:rFonts w:ascii="Times New Roman" w:hAnsi="Times New Roman" w:cs="Times New Roman"/>
          <w:sz w:val="24"/>
        </w:rPr>
        <w:t>Državno jamstvo izdano je u visini kredita uvećano za kamate, naknade i ostale troškove vezane za predmetne kredite.</w:t>
      </w:r>
      <w:r w:rsidR="000C6097">
        <w:t xml:space="preserve"> </w:t>
      </w:r>
      <w:r>
        <w:rPr>
          <w:rFonts w:ascii="Times New Roman" w:hAnsi="Times New Roman" w:cs="Times New Roman"/>
          <w:sz w:val="24"/>
        </w:rPr>
        <w:t xml:space="preserve">Dana 2.1.2025. </w:t>
      </w:r>
      <w:r w:rsidR="005F5325" w:rsidRPr="005F5325">
        <w:rPr>
          <w:rFonts w:ascii="Times New Roman" w:hAnsi="Times New Roman" w:cs="Times New Roman"/>
          <w:sz w:val="24"/>
        </w:rPr>
        <w:t>godine</w:t>
      </w:r>
      <w:r>
        <w:rPr>
          <w:rFonts w:ascii="Times New Roman" w:hAnsi="Times New Roman" w:cs="Times New Roman"/>
          <w:sz w:val="24"/>
        </w:rPr>
        <w:t xml:space="preserve"> Vlada Republike Hrvatske donijela je Odluku o davanju suglasnosti za preuzimanje kreditnih obveza društva HŽ INFRASTRUKTURA d.o.o. za koje su izdana državna jamstva, povećanjem kapitala javnog dobra. </w:t>
      </w:r>
    </w:p>
    <w:p w:rsidR="00C36434" w:rsidRDefault="00F03B32">
      <w:pPr>
        <w:spacing w:line="240" w:lineRule="auto"/>
        <w:jc w:val="both"/>
      </w:pPr>
      <w:r>
        <w:rPr>
          <w:rFonts w:ascii="Times New Roman" w:hAnsi="Times New Roman" w:cs="Times New Roman"/>
          <w:sz w:val="24"/>
        </w:rPr>
        <w:t>Stanje obveza za dugoročne kredite i zajmove na početku i na kraju 2025. godine je kako slijedi:</w:t>
      </w:r>
    </w:p>
    <w:p w:rsidR="00C36434" w:rsidRDefault="00F03B32">
      <w:pPr>
        <w:spacing w:line="240" w:lineRule="auto"/>
        <w:ind w:left="566" w:hanging="153"/>
        <w:jc w:val="both"/>
      </w:pPr>
      <w:r>
        <w:rPr>
          <w:rFonts w:ascii="Times New Roman" w:hAnsi="Times New Roman" w:cs="Times New Roman"/>
          <w:sz w:val="24"/>
        </w:rPr>
        <w:t>-  Stanje na dan 1.1.2025</w:t>
      </w:r>
      <w:r w:rsidR="005F5325">
        <w:rPr>
          <w:rFonts w:ascii="Times New Roman" w:hAnsi="Times New Roman" w:cs="Times New Roman"/>
          <w:sz w:val="24"/>
        </w:rPr>
        <w:t xml:space="preserve"> iznosi</w:t>
      </w:r>
      <w:r>
        <w:rPr>
          <w:rFonts w:ascii="Times New Roman" w:hAnsi="Times New Roman" w:cs="Times New Roman"/>
          <w:sz w:val="24"/>
        </w:rPr>
        <w:t xml:space="preserve"> 249.553.156,27 EUR</w:t>
      </w:r>
    </w:p>
    <w:p w:rsidR="00C36434" w:rsidRDefault="00F03B32" w:rsidP="004C2E08">
      <w:pPr>
        <w:spacing w:line="240" w:lineRule="auto"/>
        <w:ind w:left="566" w:hanging="153"/>
        <w:jc w:val="both"/>
      </w:pPr>
      <w:r>
        <w:rPr>
          <w:rFonts w:ascii="Times New Roman" w:hAnsi="Times New Roman" w:cs="Times New Roman"/>
          <w:sz w:val="24"/>
        </w:rPr>
        <w:t>-  Stanje na dan 31.12.2025</w:t>
      </w:r>
      <w:r w:rsidR="005F5325">
        <w:rPr>
          <w:rFonts w:ascii="Times New Roman" w:hAnsi="Times New Roman" w:cs="Times New Roman"/>
          <w:sz w:val="24"/>
        </w:rPr>
        <w:t xml:space="preserve"> iznosi</w:t>
      </w:r>
      <w:r>
        <w:rPr>
          <w:rFonts w:ascii="Times New Roman" w:hAnsi="Times New Roman" w:cs="Times New Roman"/>
          <w:sz w:val="24"/>
        </w:rPr>
        <w:t xml:space="preserve"> 42.685.534,95 EUR</w:t>
      </w:r>
    </w:p>
    <w:p w:rsidR="004769B5" w:rsidRDefault="00F03B32">
      <w:pPr>
        <w:spacing w:line="240" w:lineRule="auto"/>
        <w:jc w:val="both"/>
      </w:pPr>
      <w:r>
        <w:rPr>
          <w:rFonts w:ascii="Times New Roman" w:hAnsi="Times New Roman" w:cs="Times New Roman"/>
          <w:sz w:val="24"/>
        </w:rPr>
        <w:t>Slijedom navedenoga, daje se Plan otplate preostalih kredita po godinama:</w:t>
      </w:r>
    </w:p>
    <w:tbl>
      <w:tblPr>
        <w:tblStyle w:val="Reetkatablice1"/>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84"/>
        <w:gridCol w:w="1843"/>
        <w:gridCol w:w="1843"/>
      </w:tblGrid>
      <w:tr w:rsidR="004769B5" w:rsidRPr="004769B5" w:rsidTr="004D650B">
        <w:trPr>
          <w:trHeight w:val="340"/>
          <w:jc w:val="center"/>
        </w:trPr>
        <w:tc>
          <w:tcPr>
            <w:tcW w:w="1384" w:type="dxa"/>
            <w:shd w:val="clear" w:color="auto" w:fill="D9D9D9"/>
            <w:vAlign w:val="center"/>
          </w:tcPr>
          <w:p w:rsidR="004769B5" w:rsidRPr="004769B5" w:rsidRDefault="004769B5" w:rsidP="004769B5">
            <w:pPr>
              <w:jc w:val="center"/>
              <w:rPr>
                <w:rFonts w:ascii="Times New Roman" w:eastAsia="Times New Roman" w:hAnsi="Times New Roman" w:cs="Times New Roman"/>
                <w:sz w:val="20"/>
                <w:szCs w:val="20"/>
              </w:rPr>
            </w:pPr>
            <w:r w:rsidRPr="004769B5">
              <w:rPr>
                <w:rFonts w:ascii="Times New Roman" w:eastAsia="Times New Roman" w:hAnsi="Times New Roman" w:cs="Times New Roman"/>
                <w:sz w:val="20"/>
                <w:szCs w:val="20"/>
              </w:rPr>
              <w:t> </w:t>
            </w:r>
            <w:r w:rsidRPr="004769B5">
              <w:rPr>
                <w:rFonts w:ascii="Times New Roman" w:eastAsia="Times New Roman" w:hAnsi="Times New Roman" w:cs="Times New Roman"/>
                <w:b/>
                <w:sz w:val="20"/>
                <w:szCs w:val="20"/>
              </w:rPr>
              <w:t>Godina</w:t>
            </w:r>
          </w:p>
        </w:tc>
        <w:tc>
          <w:tcPr>
            <w:tcW w:w="1843" w:type="dxa"/>
            <w:shd w:val="clear" w:color="auto" w:fill="D9D9D9"/>
            <w:vAlign w:val="center"/>
          </w:tcPr>
          <w:p w:rsidR="004769B5" w:rsidRPr="004769B5" w:rsidRDefault="004769B5" w:rsidP="004769B5">
            <w:pPr>
              <w:jc w:val="center"/>
              <w:rPr>
                <w:rFonts w:ascii="Times New Roman" w:eastAsia="Times New Roman" w:hAnsi="Times New Roman" w:cs="Times New Roman"/>
                <w:sz w:val="20"/>
                <w:szCs w:val="20"/>
              </w:rPr>
            </w:pPr>
            <w:r w:rsidRPr="004769B5">
              <w:rPr>
                <w:rFonts w:ascii="Times New Roman" w:eastAsia="Times New Roman" w:hAnsi="Times New Roman" w:cs="Times New Roman"/>
                <w:b/>
                <w:sz w:val="20"/>
                <w:szCs w:val="20"/>
              </w:rPr>
              <w:t>EBRD</w:t>
            </w:r>
          </w:p>
        </w:tc>
        <w:tc>
          <w:tcPr>
            <w:tcW w:w="1843" w:type="dxa"/>
            <w:shd w:val="clear" w:color="auto" w:fill="D9D9D9"/>
            <w:vAlign w:val="center"/>
          </w:tcPr>
          <w:p w:rsidR="004769B5" w:rsidRPr="004769B5" w:rsidRDefault="004769B5" w:rsidP="004769B5">
            <w:pPr>
              <w:jc w:val="center"/>
              <w:rPr>
                <w:rFonts w:ascii="Times New Roman" w:eastAsia="Times New Roman" w:hAnsi="Times New Roman" w:cs="Times New Roman"/>
                <w:b/>
                <w:sz w:val="20"/>
                <w:szCs w:val="20"/>
              </w:rPr>
            </w:pPr>
            <w:r w:rsidRPr="004769B5">
              <w:rPr>
                <w:rFonts w:ascii="Times New Roman" w:eastAsia="Times New Roman" w:hAnsi="Times New Roman" w:cs="Times New Roman"/>
                <w:b/>
                <w:sz w:val="20"/>
                <w:szCs w:val="20"/>
              </w:rPr>
              <w:t>HPB d.d.</w:t>
            </w:r>
          </w:p>
        </w:tc>
      </w:tr>
      <w:tr w:rsidR="004769B5" w:rsidRPr="004769B5" w:rsidTr="004D650B">
        <w:trPr>
          <w:trHeight w:val="340"/>
          <w:jc w:val="center"/>
        </w:trPr>
        <w:tc>
          <w:tcPr>
            <w:tcW w:w="1384" w:type="dxa"/>
            <w:vAlign w:val="center"/>
          </w:tcPr>
          <w:p w:rsidR="004769B5" w:rsidRPr="004769B5" w:rsidRDefault="004769B5" w:rsidP="004769B5">
            <w:pPr>
              <w:rPr>
                <w:rFonts w:ascii="Times New Roman" w:eastAsia="Times New Roman" w:hAnsi="Times New Roman" w:cs="Times New Roman"/>
                <w:sz w:val="20"/>
                <w:szCs w:val="20"/>
              </w:rPr>
            </w:pPr>
            <w:r w:rsidRPr="004769B5">
              <w:rPr>
                <w:rFonts w:ascii="Times New Roman" w:eastAsia="Times New Roman" w:hAnsi="Times New Roman" w:cs="Times New Roman"/>
                <w:sz w:val="20"/>
                <w:szCs w:val="20"/>
              </w:rPr>
              <w:t>2026.</w:t>
            </w:r>
          </w:p>
        </w:tc>
        <w:tc>
          <w:tcPr>
            <w:tcW w:w="1843" w:type="dxa"/>
            <w:vAlign w:val="center"/>
          </w:tcPr>
          <w:p w:rsidR="004769B5" w:rsidRPr="004769B5" w:rsidRDefault="00A111F3" w:rsidP="004769B5">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5.074.214</w:t>
            </w:r>
          </w:p>
        </w:tc>
        <w:tc>
          <w:tcPr>
            <w:tcW w:w="1843" w:type="dxa"/>
          </w:tcPr>
          <w:p w:rsidR="004769B5" w:rsidRPr="004769B5" w:rsidRDefault="004769B5" w:rsidP="004769B5">
            <w:pPr>
              <w:jc w:val="right"/>
              <w:rPr>
                <w:rFonts w:ascii="Times New Roman" w:eastAsia="Times New Roman" w:hAnsi="Times New Roman" w:cs="Times New Roman"/>
                <w:sz w:val="20"/>
                <w:szCs w:val="20"/>
              </w:rPr>
            </w:pPr>
          </w:p>
        </w:tc>
      </w:tr>
      <w:tr w:rsidR="004769B5" w:rsidRPr="004769B5" w:rsidTr="004D650B">
        <w:trPr>
          <w:trHeight w:val="340"/>
          <w:jc w:val="center"/>
        </w:trPr>
        <w:tc>
          <w:tcPr>
            <w:tcW w:w="1384" w:type="dxa"/>
            <w:vAlign w:val="center"/>
          </w:tcPr>
          <w:p w:rsidR="004769B5" w:rsidRPr="004769B5" w:rsidRDefault="004769B5" w:rsidP="004769B5">
            <w:pPr>
              <w:rPr>
                <w:rFonts w:ascii="Times New Roman" w:eastAsia="Times New Roman" w:hAnsi="Times New Roman" w:cs="Times New Roman"/>
                <w:sz w:val="20"/>
                <w:szCs w:val="20"/>
              </w:rPr>
            </w:pPr>
            <w:r w:rsidRPr="004769B5">
              <w:rPr>
                <w:rFonts w:ascii="Times New Roman" w:eastAsia="Times New Roman" w:hAnsi="Times New Roman" w:cs="Times New Roman"/>
                <w:sz w:val="20"/>
                <w:szCs w:val="20"/>
              </w:rPr>
              <w:t>2027.</w:t>
            </w:r>
          </w:p>
        </w:tc>
        <w:tc>
          <w:tcPr>
            <w:tcW w:w="1843" w:type="dxa"/>
            <w:vAlign w:val="center"/>
          </w:tcPr>
          <w:p w:rsidR="004769B5" w:rsidRPr="004769B5" w:rsidRDefault="00A111F3" w:rsidP="004769B5">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5.074.214</w:t>
            </w:r>
          </w:p>
        </w:tc>
        <w:tc>
          <w:tcPr>
            <w:tcW w:w="1843" w:type="dxa"/>
            <w:vAlign w:val="center"/>
          </w:tcPr>
          <w:p w:rsidR="004769B5" w:rsidRPr="004769B5" w:rsidRDefault="00A111F3" w:rsidP="004769B5">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30.000.000</w:t>
            </w:r>
          </w:p>
        </w:tc>
      </w:tr>
      <w:tr w:rsidR="004769B5" w:rsidRPr="004769B5" w:rsidTr="004D650B">
        <w:trPr>
          <w:trHeight w:val="340"/>
          <w:jc w:val="center"/>
        </w:trPr>
        <w:tc>
          <w:tcPr>
            <w:tcW w:w="1384" w:type="dxa"/>
            <w:vAlign w:val="center"/>
          </w:tcPr>
          <w:p w:rsidR="004769B5" w:rsidRPr="004769B5" w:rsidRDefault="004769B5" w:rsidP="004769B5">
            <w:pPr>
              <w:rPr>
                <w:rFonts w:ascii="Times New Roman" w:eastAsia="Times New Roman" w:hAnsi="Times New Roman" w:cs="Times New Roman"/>
                <w:sz w:val="20"/>
                <w:szCs w:val="20"/>
              </w:rPr>
            </w:pPr>
            <w:r w:rsidRPr="004769B5">
              <w:rPr>
                <w:rFonts w:ascii="Times New Roman" w:eastAsia="Times New Roman" w:hAnsi="Times New Roman" w:cs="Times New Roman"/>
                <w:sz w:val="20"/>
                <w:szCs w:val="20"/>
              </w:rPr>
              <w:t>2028.</w:t>
            </w:r>
          </w:p>
        </w:tc>
        <w:tc>
          <w:tcPr>
            <w:tcW w:w="1843" w:type="dxa"/>
            <w:vAlign w:val="center"/>
          </w:tcPr>
          <w:p w:rsidR="004769B5" w:rsidRPr="004769B5" w:rsidRDefault="00A111F3" w:rsidP="004769B5">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2.537.107</w:t>
            </w:r>
          </w:p>
        </w:tc>
        <w:tc>
          <w:tcPr>
            <w:tcW w:w="1843" w:type="dxa"/>
          </w:tcPr>
          <w:p w:rsidR="004769B5" w:rsidRPr="004769B5" w:rsidRDefault="004769B5" w:rsidP="004769B5">
            <w:pPr>
              <w:jc w:val="right"/>
              <w:rPr>
                <w:rFonts w:ascii="Times New Roman" w:eastAsia="Times New Roman" w:hAnsi="Times New Roman" w:cs="Times New Roman"/>
                <w:sz w:val="20"/>
                <w:szCs w:val="20"/>
              </w:rPr>
            </w:pPr>
          </w:p>
        </w:tc>
      </w:tr>
      <w:tr w:rsidR="004769B5" w:rsidRPr="004769B5" w:rsidTr="004D650B">
        <w:trPr>
          <w:trHeight w:val="340"/>
          <w:jc w:val="center"/>
        </w:trPr>
        <w:tc>
          <w:tcPr>
            <w:tcW w:w="1384" w:type="dxa"/>
            <w:shd w:val="clear" w:color="auto" w:fill="D9D9D9"/>
            <w:vAlign w:val="center"/>
          </w:tcPr>
          <w:p w:rsidR="004769B5" w:rsidRPr="004769B5" w:rsidRDefault="004769B5" w:rsidP="004769B5">
            <w:pPr>
              <w:rPr>
                <w:rFonts w:ascii="Times New Roman" w:eastAsia="Times New Roman" w:hAnsi="Times New Roman" w:cs="Times New Roman"/>
                <w:sz w:val="20"/>
                <w:szCs w:val="20"/>
              </w:rPr>
            </w:pPr>
            <w:r w:rsidRPr="004769B5">
              <w:rPr>
                <w:rFonts w:ascii="Times New Roman" w:eastAsia="Times New Roman" w:hAnsi="Times New Roman" w:cs="Times New Roman"/>
                <w:b/>
                <w:sz w:val="20"/>
                <w:szCs w:val="20"/>
              </w:rPr>
              <w:t>Ukupno</w:t>
            </w:r>
          </w:p>
        </w:tc>
        <w:tc>
          <w:tcPr>
            <w:tcW w:w="1843" w:type="dxa"/>
            <w:shd w:val="clear" w:color="auto" w:fill="D9D9D9"/>
            <w:vAlign w:val="center"/>
          </w:tcPr>
          <w:p w:rsidR="004769B5" w:rsidRPr="004769B5" w:rsidRDefault="00A111F3" w:rsidP="004769B5">
            <w:pPr>
              <w:jc w:val="right"/>
              <w:rPr>
                <w:rFonts w:ascii="Times New Roman" w:eastAsia="Times New Roman" w:hAnsi="Times New Roman" w:cs="Times New Roman"/>
                <w:sz w:val="20"/>
                <w:szCs w:val="20"/>
              </w:rPr>
            </w:pPr>
            <w:r>
              <w:rPr>
                <w:rFonts w:ascii="Times New Roman" w:eastAsia="Times New Roman" w:hAnsi="Times New Roman" w:cs="Times New Roman"/>
                <w:b/>
                <w:sz w:val="20"/>
                <w:szCs w:val="20"/>
              </w:rPr>
              <w:t>12.685.535</w:t>
            </w:r>
          </w:p>
        </w:tc>
        <w:tc>
          <w:tcPr>
            <w:tcW w:w="1843" w:type="dxa"/>
            <w:shd w:val="clear" w:color="auto" w:fill="D9D9D9"/>
            <w:vAlign w:val="center"/>
          </w:tcPr>
          <w:p w:rsidR="004769B5" w:rsidRPr="004769B5" w:rsidRDefault="00A111F3" w:rsidP="004769B5">
            <w:pPr>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30.000.000</w:t>
            </w:r>
          </w:p>
        </w:tc>
      </w:tr>
    </w:tbl>
    <w:p w:rsidR="00C36434" w:rsidRPr="0068076C" w:rsidRDefault="00C36434">
      <w:pPr>
        <w:spacing w:line="240" w:lineRule="auto"/>
        <w:jc w:val="both"/>
        <w:rPr>
          <w:sz w:val="8"/>
        </w:rPr>
      </w:pPr>
    </w:p>
    <w:p w:rsidR="00C36434" w:rsidRDefault="00F03B32">
      <w:pPr>
        <w:spacing w:line="240" w:lineRule="auto"/>
        <w:jc w:val="both"/>
      </w:pPr>
      <w:r>
        <w:rPr>
          <w:rFonts w:ascii="Times New Roman" w:hAnsi="Times New Roman" w:cs="Times New Roman"/>
          <w:sz w:val="24"/>
        </w:rPr>
        <w:t xml:space="preserve">Dana 31.12.2025. </w:t>
      </w:r>
      <w:r w:rsidR="00B02DB5">
        <w:rPr>
          <w:rFonts w:ascii="Times New Roman" w:hAnsi="Times New Roman" w:cs="Times New Roman"/>
          <w:sz w:val="24"/>
        </w:rPr>
        <w:t>godine</w:t>
      </w:r>
      <w:r>
        <w:rPr>
          <w:rFonts w:ascii="Times New Roman" w:hAnsi="Times New Roman" w:cs="Times New Roman"/>
          <w:sz w:val="24"/>
        </w:rPr>
        <w:t xml:space="preserve"> društvo HŽ INFRASTRUKTURA d.o.o. je otplatil</w:t>
      </w:r>
      <w:r w:rsidR="00831E8A">
        <w:rPr>
          <w:rFonts w:ascii="Times New Roman" w:hAnsi="Times New Roman" w:cs="Times New Roman"/>
          <w:sz w:val="24"/>
        </w:rPr>
        <w:t>o</w:t>
      </w:r>
      <w:r>
        <w:rPr>
          <w:rFonts w:ascii="Times New Roman" w:hAnsi="Times New Roman" w:cs="Times New Roman"/>
          <w:sz w:val="24"/>
        </w:rPr>
        <w:t xml:space="preserve"> revol</w:t>
      </w:r>
      <w:r w:rsidR="00B02DB5">
        <w:rPr>
          <w:rFonts w:ascii="Times New Roman" w:hAnsi="Times New Roman" w:cs="Times New Roman"/>
          <w:sz w:val="24"/>
        </w:rPr>
        <w:t>ving kredit sklopljen u 2024. godini</w:t>
      </w:r>
      <w:r>
        <w:rPr>
          <w:rFonts w:ascii="Times New Roman" w:hAnsi="Times New Roman" w:cs="Times New Roman"/>
          <w:sz w:val="24"/>
        </w:rPr>
        <w:t xml:space="preserve"> s </w:t>
      </w:r>
      <w:r w:rsidR="00B02DB5">
        <w:rPr>
          <w:rFonts w:ascii="Times New Roman" w:hAnsi="Times New Roman" w:cs="Times New Roman"/>
          <w:sz w:val="24"/>
        </w:rPr>
        <w:t>Erste&amp;Steiermärkische</w:t>
      </w:r>
      <w:r>
        <w:rPr>
          <w:rFonts w:ascii="Times New Roman" w:hAnsi="Times New Roman" w:cs="Times New Roman"/>
          <w:sz w:val="24"/>
        </w:rPr>
        <w:t xml:space="preserve"> bank d.d. u iznosu 32.517.000,00 EUR.</w:t>
      </w:r>
    </w:p>
    <w:p w:rsidR="00C36434" w:rsidRDefault="00F03B32" w:rsidP="0071304F">
      <w:pPr>
        <w:spacing w:line="240" w:lineRule="auto"/>
        <w:jc w:val="both"/>
      </w:pPr>
      <w:r>
        <w:rPr>
          <w:rFonts w:ascii="Times New Roman" w:hAnsi="Times New Roman" w:cs="Times New Roman"/>
          <w:b/>
          <w:sz w:val="24"/>
          <w:u w:val="single"/>
        </w:rPr>
        <w:br/>
        <w:t>IZVJEŠTAJ O KORIŠTENJU SREDSTAVA FONDOVA EUROPSKE UNIJE</w:t>
      </w:r>
    </w:p>
    <w:p w:rsidR="00C36434" w:rsidRDefault="00F03B32">
      <w:pPr>
        <w:spacing w:line="240" w:lineRule="auto"/>
        <w:jc w:val="both"/>
      </w:pPr>
      <w:r>
        <w:rPr>
          <w:rFonts w:ascii="Times New Roman" w:hAnsi="Times New Roman" w:cs="Times New Roman"/>
          <w:sz w:val="24"/>
        </w:rPr>
        <w:t>Metodologija prikazanih podataka:</w:t>
      </w:r>
    </w:p>
    <w:p w:rsidR="00C36434" w:rsidRDefault="008F6A26" w:rsidP="004925AB">
      <w:pPr>
        <w:spacing w:line="240" w:lineRule="auto"/>
        <w:ind w:left="360" w:hanging="360"/>
        <w:jc w:val="both"/>
      </w:pPr>
      <w:r>
        <w:rPr>
          <w:rFonts w:ascii="Times New Roman" w:hAnsi="Times New Roman" w:cs="Times New Roman"/>
          <w:sz w:val="24"/>
        </w:rPr>
        <w:t>-     </w:t>
      </w:r>
      <w:r w:rsidR="00F03B32">
        <w:rPr>
          <w:rFonts w:ascii="Times New Roman" w:hAnsi="Times New Roman" w:cs="Times New Roman"/>
          <w:sz w:val="24"/>
        </w:rPr>
        <w:t>Prihodi: primitak sredstava iz EU fondova - po novčanoj metodi</w:t>
      </w:r>
    </w:p>
    <w:p w:rsidR="00C36434" w:rsidRDefault="008F6A26" w:rsidP="004925AB">
      <w:pPr>
        <w:spacing w:line="240" w:lineRule="auto"/>
        <w:ind w:left="360" w:hanging="360"/>
        <w:jc w:val="both"/>
      </w:pPr>
      <w:r>
        <w:rPr>
          <w:rFonts w:ascii="Times New Roman" w:hAnsi="Times New Roman" w:cs="Times New Roman"/>
          <w:sz w:val="24"/>
        </w:rPr>
        <w:t>-     </w:t>
      </w:r>
      <w:r w:rsidR="00F03B32">
        <w:rPr>
          <w:rFonts w:ascii="Times New Roman" w:hAnsi="Times New Roman" w:cs="Times New Roman"/>
          <w:sz w:val="24"/>
        </w:rPr>
        <w:t>Rashodi: po "modificiranoj metodi" na način da su obračunski rashodi po projektima uvećani odnosno umanjeni za predujmove (isplate avansa i povrati avansa po privremenim situacijama). Obračunski rashodi obuhvaćaju 85% (OPKK i CEF) ili 100% (NPOO i Fond solidarnosti) rashoda vezanih za pojedini projekt koji će u konačnici biti kapitalizirani (troškovi vezani za izvođenje radova, nadzor nad radovima, otkupi zemljišta, troškovi plaća, službenih putovanja, promidžbe i slično)</w:t>
      </w:r>
    </w:p>
    <w:p w:rsidR="00C36434" w:rsidRDefault="008F6A26" w:rsidP="004925AB">
      <w:pPr>
        <w:spacing w:line="240" w:lineRule="auto"/>
        <w:ind w:left="360" w:hanging="360"/>
        <w:jc w:val="both"/>
      </w:pPr>
      <w:r>
        <w:rPr>
          <w:rFonts w:ascii="Times New Roman" w:hAnsi="Times New Roman" w:cs="Times New Roman"/>
          <w:sz w:val="24"/>
        </w:rPr>
        <w:t>-     </w:t>
      </w:r>
      <w:r w:rsidR="00F03B32">
        <w:rPr>
          <w:rFonts w:ascii="Times New Roman" w:hAnsi="Times New Roman" w:cs="Times New Roman"/>
          <w:sz w:val="24"/>
        </w:rPr>
        <w:t xml:space="preserve">Stanje potraživanja odnosi se na potraživanja iz EU fondova, a uključuje dospjela i nedospjela potraživanja. Sve dospjele obveze prema izvođačima na EU projektima HŽ INFRASTRUKTURA d.o.o. je podmirila iz drugih izvora financiranja, posudbama iz investicijskih kredita ili iz vlastitih prihoda. Za projekte financirane iz OPKK programa uglavnom se radi o rashodima koji imaju status "izuzetih troškova" i korekcija. Ukoliko </w:t>
      </w:r>
      <w:r w:rsidR="00F03B32">
        <w:rPr>
          <w:rFonts w:ascii="Times New Roman" w:hAnsi="Times New Roman" w:cs="Times New Roman"/>
          <w:sz w:val="24"/>
        </w:rPr>
        <w:lastRenderedPageBreak/>
        <w:t>predmetni rashodi budu priznati, financijska sredstva će biti refundirana iz EU fondova. U slučaju da neće biti priznati, financijska sredstva će biti refundirana iz sredstava Državnog proračuna, izvor 11 (neprihvatljivi troškovi EU projekata). Potraživanja za projekte iz CEF programa odnose se na izvršene radove (85%), a za koje se primitak očekuje krajem godine. Potraživanja iz NPOO programa nisu sporna već se zatvaraju po metodi nadoknade.</w:t>
      </w:r>
    </w:p>
    <w:p w:rsidR="00B01246" w:rsidRPr="00530CB0" w:rsidRDefault="008F6A26" w:rsidP="004925AB">
      <w:pPr>
        <w:spacing w:line="240" w:lineRule="auto"/>
        <w:ind w:left="360" w:hanging="360"/>
        <w:jc w:val="both"/>
      </w:pPr>
      <w:r>
        <w:rPr>
          <w:rFonts w:ascii="Times New Roman" w:hAnsi="Times New Roman" w:cs="Times New Roman"/>
          <w:sz w:val="24"/>
        </w:rPr>
        <w:t>-     </w:t>
      </w:r>
      <w:r w:rsidR="00F03B32">
        <w:rPr>
          <w:rFonts w:ascii="Times New Roman" w:hAnsi="Times New Roman" w:cs="Times New Roman"/>
          <w:sz w:val="24"/>
        </w:rPr>
        <w:t>Stanje obveza za primljene predujmove – obuhvaćaju primljena sredstva iz EU fondova koja na dan 31.12.2025. g. nisu opravdana izvršenim radovima (isplaćeni predujmovi izvođačima radova) i/ili nisu iskorištena i sastavni su dio stanja novca na računima.</w:t>
      </w:r>
    </w:p>
    <w:tbl>
      <w:tblPr>
        <w:tblStyle w:val="Reetkatablice"/>
        <w:tblW w:w="900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90"/>
        <w:gridCol w:w="1250"/>
        <w:gridCol w:w="1275"/>
        <w:gridCol w:w="1274"/>
        <w:gridCol w:w="1320"/>
      </w:tblGrid>
      <w:tr w:rsidR="0071304F" w:rsidRPr="003F1471" w:rsidTr="00101EB4">
        <w:trPr>
          <w:trHeight w:val="283"/>
          <w:jc w:val="center"/>
        </w:trPr>
        <w:tc>
          <w:tcPr>
            <w:tcW w:w="3890" w:type="dxa"/>
            <w:vMerge w:val="restart"/>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r w:rsidRPr="00683134">
              <w:rPr>
                <w:rFonts w:ascii="Times New Roman" w:hAnsi="Times New Roman" w:cs="Times New Roman"/>
                <w:b/>
                <w:bCs/>
                <w:sz w:val="17"/>
                <w:szCs w:val="17"/>
              </w:rPr>
              <w:t>Opis</w:t>
            </w:r>
          </w:p>
        </w:tc>
        <w:tc>
          <w:tcPr>
            <w:tcW w:w="5119" w:type="dxa"/>
            <w:gridSpan w:val="4"/>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r w:rsidRPr="00683134">
              <w:rPr>
                <w:rFonts w:ascii="Times New Roman" w:hAnsi="Times New Roman" w:cs="Times New Roman"/>
                <w:b/>
                <w:bCs/>
                <w:sz w:val="17"/>
                <w:szCs w:val="17"/>
              </w:rPr>
              <w:t>Razdoblje 1.1.-31.12.2025.</w:t>
            </w:r>
          </w:p>
        </w:tc>
      </w:tr>
      <w:tr w:rsidR="0096002C" w:rsidRPr="003F1471" w:rsidTr="00101EB4">
        <w:trPr>
          <w:trHeight w:val="283"/>
          <w:jc w:val="center"/>
        </w:trPr>
        <w:tc>
          <w:tcPr>
            <w:tcW w:w="3890" w:type="dxa"/>
            <w:vMerge/>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p>
        </w:tc>
        <w:tc>
          <w:tcPr>
            <w:tcW w:w="1250" w:type="dxa"/>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r w:rsidRPr="00683134">
              <w:rPr>
                <w:rFonts w:ascii="Times New Roman" w:hAnsi="Times New Roman" w:cs="Times New Roman"/>
                <w:b/>
                <w:bCs/>
                <w:sz w:val="17"/>
                <w:szCs w:val="17"/>
              </w:rPr>
              <w:t>OPKK/PKK</w:t>
            </w:r>
          </w:p>
        </w:tc>
        <w:tc>
          <w:tcPr>
            <w:tcW w:w="1275" w:type="dxa"/>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r w:rsidRPr="00683134">
              <w:rPr>
                <w:rFonts w:ascii="Times New Roman" w:hAnsi="Times New Roman" w:cs="Times New Roman"/>
                <w:b/>
                <w:bCs/>
                <w:sz w:val="17"/>
                <w:szCs w:val="17"/>
              </w:rPr>
              <w:t>CEF</w:t>
            </w:r>
          </w:p>
        </w:tc>
        <w:tc>
          <w:tcPr>
            <w:tcW w:w="1274" w:type="dxa"/>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r w:rsidRPr="00683134">
              <w:rPr>
                <w:rFonts w:ascii="Times New Roman" w:hAnsi="Times New Roman" w:cs="Times New Roman"/>
                <w:b/>
                <w:bCs/>
                <w:sz w:val="17"/>
                <w:szCs w:val="17"/>
              </w:rPr>
              <w:t>NPOO</w:t>
            </w:r>
          </w:p>
        </w:tc>
        <w:tc>
          <w:tcPr>
            <w:tcW w:w="1320" w:type="dxa"/>
            <w:shd w:val="clear" w:color="auto" w:fill="F2F2F2" w:themeFill="background1" w:themeFillShade="F2"/>
            <w:vAlign w:val="center"/>
          </w:tcPr>
          <w:p w:rsidR="0071304F" w:rsidRPr="00683134" w:rsidRDefault="0071304F" w:rsidP="00F03B32">
            <w:pPr>
              <w:jc w:val="center"/>
              <w:rPr>
                <w:rFonts w:ascii="Times New Roman" w:hAnsi="Times New Roman" w:cs="Times New Roman"/>
                <w:b/>
                <w:bCs/>
                <w:sz w:val="17"/>
                <w:szCs w:val="17"/>
              </w:rPr>
            </w:pPr>
            <w:r w:rsidRPr="00683134">
              <w:rPr>
                <w:rFonts w:ascii="Times New Roman" w:hAnsi="Times New Roman" w:cs="Times New Roman"/>
                <w:b/>
                <w:bCs/>
                <w:sz w:val="17"/>
                <w:szCs w:val="17"/>
              </w:rPr>
              <w:t>Ukupno</w:t>
            </w:r>
          </w:p>
        </w:tc>
      </w:tr>
      <w:tr w:rsidR="0096002C" w:rsidRPr="003F1471" w:rsidTr="00101EB4">
        <w:trPr>
          <w:trHeight w:val="268"/>
          <w:jc w:val="center"/>
        </w:trPr>
        <w:tc>
          <w:tcPr>
            <w:tcW w:w="3890" w:type="dxa"/>
            <w:vAlign w:val="center"/>
          </w:tcPr>
          <w:p w:rsidR="0071304F" w:rsidRPr="00683134" w:rsidRDefault="0071304F" w:rsidP="00F03B32">
            <w:pPr>
              <w:rPr>
                <w:rFonts w:ascii="Times New Roman" w:hAnsi="Times New Roman" w:cs="Times New Roman"/>
                <w:sz w:val="17"/>
                <w:szCs w:val="17"/>
              </w:rPr>
            </w:pPr>
            <w:r w:rsidRPr="00683134">
              <w:rPr>
                <w:rFonts w:ascii="Times New Roman" w:hAnsi="Times New Roman" w:cs="Times New Roman"/>
                <w:sz w:val="17"/>
                <w:szCs w:val="17"/>
              </w:rPr>
              <w:t>Prihodi</w:t>
            </w:r>
          </w:p>
        </w:tc>
        <w:tc>
          <w:tcPr>
            <w:tcW w:w="1250"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13.988.597,44</w:t>
            </w:r>
          </w:p>
        </w:tc>
        <w:tc>
          <w:tcPr>
            <w:tcW w:w="1275"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112.098,32</w:t>
            </w:r>
          </w:p>
        </w:tc>
        <w:tc>
          <w:tcPr>
            <w:tcW w:w="1274"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6.429.470,44</w:t>
            </w:r>
          </w:p>
        </w:tc>
        <w:tc>
          <w:tcPr>
            <w:tcW w:w="1320" w:type="dxa"/>
            <w:vAlign w:val="center"/>
          </w:tcPr>
          <w:p w:rsidR="0071304F" w:rsidRPr="00683134" w:rsidRDefault="0071304F" w:rsidP="00F03B32">
            <w:pPr>
              <w:jc w:val="right"/>
              <w:rPr>
                <w:rFonts w:ascii="Times New Roman" w:hAnsi="Times New Roman" w:cs="Times New Roman"/>
                <w:bCs/>
                <w:sz w:val="17"/>
                <w:szCs w:val="17"/>
              </w:rPr>
            </w:pPr>
            <w:r w:rsidRPr="00683134">
              <w:rPr>
                <w:rFonts w:ascii="Times New Roman" w:hAnsi="Times New Roman" w:cs="Times New Roman"/>
                <w:bCs/>
                <w:sz w:val="17"/>
                <w:szCs w:val="17"/>
              </w:rPr>
              <w:t>20.530.166,20</w:t>
            </w:r>
          </w:p>
        </w:tc>
      </w:tr>
      <w:tr w:rsidR="0096002C" w:rsidRPr="003F1471" w:rsidTr="00101EB4">
        <w:trPr>
          <w:trHeight w:val="286"/>
          <w:jc w:val="center"/>
        </w:trPr>
        <w:tc>
          <w:tcPr>
            <w:tcW w:w="3890" w:type="dxa"/>
            <w:vAlign w:val="center"/>
          </w:tcPr>
          <w:p w:rsidR="0071304F" w:rsidRPr="00683134" w:rsidRDefault="0071304F" w:rsidP="00F03B32">
            <w:pPr>
              <w:rPr>
                <w:rFonts w:ascii="Times New Roman" w:hAnsi="Times New Roman" w:cs="Times New Roman"/>
                <w:sz w:val="17"/>
                <w:szCs w:val="17"/>
              </w:rPr>
            </w:pPr>
            <w:r w:rsidRPr="00683134">
              <w:rPr>
                <w:rFonts w:ascii="Times New Roman" w:hAnsi="Times New Roman" w:cs="Times New Roman"/>
                <w:sz w:val="17"/>
                <w:szCs w:val="17"/>
              </w:rPr>
              <w:t>Rashodi</w:t>
            </w:r>
          </w:p>
        </w:tc>
        <w:tc>
          <w:tcPr>
            <w:tcW w:w="1250"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14.534.350,39</w:t>
            </w:r>
          </w:p>
        </w:tc>
        <w:tc>
          <w:tcPr>
            <w:tcW w:w="1275"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5.404.400,61</w:t>
            </w:r>
          </w:p>
        </w:tc>
        <w:tc>
          <w:tcPr>
            <w:tcW w:w="1274"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5.042.150,77</w:t>
            </w:r>
          </w:p>
        </w:tc>
        <w:tc>
          <w:tcPr>
            <w:tcW w:w="1320" w:type="dxa"/>
            <w:vAlign w:val="center"/>
          </w:tcPr>
          <w:p w:rsidR="0071304F" w:rsidRPr="00683134" w:rsidRDefault="0071304F" w:rsidP="00F03B32">
            <w:pPr>
              <w:jc w:val="right"/>
              <w:rPr>
                <w:rFonts w:ascii="Times New Roman" w:hAnsi="Times New Roman" w:cs="Times New Roman"/>
                <w:bCs/>
                <w:sz w:val="17"/>
                <w:szCs w:val="17"/>
              </w:rPr>
            </w:pPr>
            <w:r w:rsidRPr="00683134">
              <w:rPr>
                <w:rFonts w:ascii="Times New Roman" w:hAnsi="Times New Roman" w:cs="Times New Roman"/>
                <w:bCs/>
                <w:sz w:val="17"/>
                <w:szCs w:val="17"/>
              </w:rPr>
              <w:t>24.980.901,77</w:t>
            </w:r>
          </w:p>
        </w:tc>
      </w:tr>
      <w:tr w:rsidR="0096002C" w:rsidRPr="003F1471" w:rsidTr="00101EB4">
        <w:trPr>
          <w:trHeight w:val="276"/>
          <w:jc w:val="center"/>
        </w:trPr>
        <w:tc>
          <w:tcPr>
            <w:tcW w:w="3890" w:type="dxa"/>
            <w:vAlign w:val="center"/>
          </w:tcPr>
          <w:p w:rsidR="0071304F" w:rsidRPr="00683134" w:rsidRDefault="0071304F" w:rsidP="00F03B32">
            <w:pPr>
              <w:rPr>
                <w:rFonts w:ascii="Times New Roman" w:hAnsi="Times New Roman" w:cs="Times New Roman"/>
                <w:sz w:val="17"/>
                <w:szCs w:val="17"/>
              </w:rPr>
            </w:pPr>
            <w:r w:rsidRPr="00683134">
              <w:rPr>
                <w:rFonts w:ascii="Times New Roman" w:hAnsi="Times New Roman" w:cs="Times New Roman"/>
                <w:sz w:val="17"/>
                <w:szCs w:val="17"/>
              </w:rPr>
              <w:t xml:space="preserve">Stanje potraživanja na dan 31.12. </w:t>
            </w:r>
          </w:p>
        </w:tc>
        <w:tc>
          <w:tcPr>
            <w:tcW w:w="1250"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26.222.120,65</w:t>
            </w:r>
          </w:p>
        </w:tc>
        <w:tc>
          <w:tcPr>
            <w:tcW w:w="1275"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51.569.085,10</w:t>
            </w:r>
          </w:p>
        </w:tc>
        <w:tc>
          <w:tcPr>
            <w:tcW w:w="1274"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1.366.184,42</w:t>
            </w:r>
          </w:p>
        </w:tc>
        <w:tc>
          <w:tcPr>
            <w:tcW w:w="1320" w:type="dxa"/>
            <w:vAlign w:val="center"/>
          </w:tcPr>
          <w:p w:rsidR="0071304F" w:rsidRPr="00683134" w:rsidRDefault="0071304F" w:rsidP="00F03B32">
            <w:pPr>
              <w:jc w:val="right"/>
              <w:rPr>
                <w:rFonts w:ascii="Times New Roman" w:hAnsi="Times New Roman" w:cs="Times New Roman"/>
                <w:bCs/>
                <w:sz w:val="17"/>
                <w:szCs w:val="17"/>
              </w:rPr>
            </w:pPr>
            <w:r w:rsidRPr="00683134">
              <w:rPr>
                <w:rFonts w:ascii="Times New Roman" w:hAnsi="Times New Roman" w:cs="Times New Roman"/>
                <w:bCs/>
                <w:sz w:val="17"/>
                <w:szCs w:val="17"/>
              </w:rPr>
              <w:t>79.157.390,17</w:t>
            </w:r>
          </w:p>
        </w:tc>
      </w:tr>
      <w:tr w:rsidR="0096002C" w:rsidRPr="003F1471" w:rsidTr="00101EB4">
        <w:trPr>
          <w:trHeight w:val="279"/>
          <w:jc w:val="center"/>
        </w:trPr>
        <w:tc>
          <w:tcPr>
            <w:tcW w:w="3890" w:type="dxa"/>
            <w:vAlign w:val="center"/>
          </w:tcPr>
          <w:p w:rsidR="0071304F" w:rsidRPr="00683134" w:rsidRDefault="0071304F" w:rsidP="00F03B32">
            <w:pPr>
              <w:rPr>
                <w:rFonts w:ascii="Times New Roman" w:hAnsi="Times New Roman" w:cs="Times New Roman"/>
                <w:sz w:val="17"/>
                <w:szCs w:val="17"/>
              </w:rPr>
            </w:pPr>
            <w:r w:rsidRPr="00683134">
              <w:rPr>
                <w:rFonts w:ascii="Times New Roman" w:hAnsi="Times New Roman" w:cs="Times New Roman"/>
                <w:sz w:val="17"/>
                <w:szCs w:val="17"/>
              </w:rPr>
              <w:t xml:space="preserve">Stanje obveza za primljene predujmove na dan 31.12. </w:t>
            </w:r>
          </w:p>
        </w:tc>
        <w:tc>
          <w:tcPr>
            <w:tcW w:w="1250"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0,00</w:t>
            </w:r>
          </w:p>
        </w:tc>
        <w:tc>
          <w:tcPr>
            <w:tcW w:w="1275"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87.647.759,83</w:t>
            </w:r>
          </w:p>
        </w:tc>
        <w:tc>
          <w:tcPr>
            <w:tcW w:w="1274" w:type="dxa"/>
            <w:vAlign w:val="center"/>
          </w:tcPr>
          <w:p w:rsidR="0071304F" w:rsidRPr="00683134" w:rsidRDefault="0071304F" w:rsidP="00F03B32">
            <w:pPr>
              <w:jc w:val="right"/>
              <w:rPr>
                <w:rFonts w:ascii="Times New Roman" w:hAnsi="Times New Roman" w:cs="Times New Roman"/>
                <w:sz w:val="17"/>
                <w:szCs w:val="17"/>
              </w:rPr>
            </w:pPr>
            <w:r w:rsidRPr="00683134">
              <w:rPr>
                <w:rFonts w:ascii="Times New Roman" w:hAnsi="Times New Roman" w:cs="Times New Roman"/>
                <w:sz w:val="17"/>
                <w:szCs w:val="17"/>
              </w:rPr>
              <w:t>649.513,81</w:t>
            </w:r>
          </w:p>
        </w:tc>
        <w:tc>
          <w:tcPr>
            <w:tcW w:w="1320" w:type="dxa"/>
            <w:vAlign w:val="center"/>
          </w:tcPr>
          <w:p w:rsidR="0071304F" w:rsidRPr="00683134" w:rsidRDefault="0071304F" w:rsidP="00F03B32">
            <w:pPr>
              <w:jc w:val="right"/>
              <w:rPr>
                <w:rFonts w:ascii="Times New Roman" w:hAnsi="Times New Roman" w:cs="Times New Roman"/>
                <w:bCs/>
                <w:sz w:val="17"/>
                <w:szCs w:val="17"/>
              </w:rPr>
            </w:pPr>
            <w:r w:rsidRPr="00683134">
              <w:rPr>
                <w:rFonts w:ascii="Times New Roman" w:hAnsi="Times New Roman" w:cs="Times New Roman"/>
                <w:bCs/>
                <w:sz w:val="17"/>
                <w:szCs w:val="17"/>
              </w:rPr>
              <w:t>88.297.273,64</w:t>
            </w:r>
          </w:p>
        </w:tc>
      </w:tr>
    </w:tbl>
    <w:p w:rsidR="007872B8" w:rsidRDefault="007872B8">
      <w:pPr>
        <w:spacing w:line="240" w:lineRule="auto"/>
        <w:jc w:val="both"/>
        <w:rPr>
          <w:rFonts w:ascii="Times New Roman" w:hAnsi="Times New Roman" w:cs="Times New Roman"/>
          <w:sz w:val="24"/>
        </w:rPr>
      </w:pPr>
    </w:p>
    <w:tbl>
      <w:tblPr>
        <w:tblW w:w="10880" w:type="dxa"/>
        <w:jc w:val="center"/>
        <w:tblBorders>
          <w:top w:val="single" w:sz="2" w:space="0" w:color="808080"/>
          <w:left w:val="single" w:sz="2" w:space="0" w:color="808080"/>
          <w:bottom w:val="single" w:sz="2" w:space="0" w:color="808080"/>
          <w:right w:val="single" w:sz="2" w:space="0" w:color="808080"/>
        </w:tblBorders>
        <w:tblLook w:val="04A0" w:firstRow="1" w:lastRow="0" w:firstColumn="1" w:lastColumn="0" w:noHBand="0" w:noVBand="1"/>
      </w:tblPr>
      <w:tblGrid>
        <w:gridCol w:w="1165"/>
        <w:gridCol w:w="870"/>
        <w:gridCol w:w="1002"/>
        <w:gridCol w:w="1002"/>
        <w:gridCol w:w="916"/>
        <w:gridCol w:w="916"/>
        <w:gridCol w:w="846"/>
        <w:gridCol w:w="846"/>
        <w:gridCol w:w="916"/>
        <w:gridCol w:w="916"/>
        <w:gridCol w:w="979"/>
        <w:gridCol w:w="846"/>
      </w:tblGrid>
      <w:tr w:rsidR="00935F1F" w:rsidRPr="00935F1F" w:rsidTr="0096002C">
        <w:trPr>
          <w:trHeight w:val="446"/>
          <w:tblHeader/>
          <w:jc w:val="center"/>
        </w:trPr>
        <w:tc>
          <w:tcPr>
            <w:tcW w:w="825" w:type="dxa"/>
            <w:vMerge w:val="restart"/>
            <w:tcBorders>
              <w:top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Naziv projekta</w:t>
            </w:r>
          </w:p>
        </w:tc>
        <w:tc>
          <w:tcPr>
            <w:tcW w:w="870" w:type="dxa"/>
            <w:vMerge w:val="restart"/>
            <w:tcBorders>
              <w:top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Operativni program</w:t>
            </w:r>
          </w:p>
        </w:tc>
        <w:tc>
          <w:tcPr>
            <w:tcW w:w="1002" w:type="dxa"/>
            <w:vMerge w:val="restart"/>
            <w:tcBorders>
              <w:top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Datum sklapanja Ugovora o dodjeli bespovratnih sredstava</w:t>
            </w:r>
          </w:p>
        </w:tc>
        <w:tc>
          <w:tcPr>
            <w:tcW w:w="1002" w:type="dxa"/>
            <w:vMerge w:val="restart"/>
            <w:tcBorders>
              <w:top w:val="single" w:sz="2" w:space="0" w:color="808080"/>
              <w:bottom w:val="single" w:sz="2" w:space="0" w:color="808080"/>
              <w:right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Ugovorena vrijednost bespovratnih sredstava iz EU fondova</w:t>
            </w:r>
          </w:p>
        </w:tc>
        <w:tc>
          <w:tcPr>
            <w:tcW w:w="1832" w:type="dxa"/>
            <w:gridSpan w:val="2"/>
            <w:tcBorders>
              <w:top w:val="single" w:sz="2" w:space="0" w:color="808080"/>
              <w:left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DO 31.12.2024.</w:t>
            </w:r>
          </w:p>
          <w:p w:rsidR="00935F1F" w:rsidRPr="00935F1F" w:rsidRDefault="00935F1F" w:rsidP="00935F1F">
            <w:pPr>
              <w:spacing w:after="0" w:line="240" w:lineRule="auto"/>
              <w:jc w:val="center"/>
              <w:rPr>
                <w:rFonts w:ascii="Times New Roman" w:eastAsia="Times New Roman" w:hAnsi="Times New Roman" w:cs="Times New Roman"/>
                <w:b/>
                <w:sz w:val="14"/>
                <w:szCs w:val="14"/>
              </w:rPr>
            </w:pPr>
          </w:p>
        </w:tc>
        <w:tc>
          <w:tcPr>
            <w:tcW w:w="1692" w:type="dxa"/>
            <w:gridSpan w:val="2"/>
            <w:tcBorders>
              <w:top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1.1.-31.12.2025..</w:t>
            </w:r>
          </w:p>
        </w:tc>
        <w:tc>
          <w:tcPr>
            <w:tcW w:w="1832" w:type="dxa"/>
            <w:gridSpan w:val="2"/>
            <w:tcBorders>
              <w:top w:val="single" w:sz="2" w:space="0" w:color="808080"/>
              <w:bottom w:val="single" w:sz="2" w:space="0" w:color="808080"/>
              <w:right w:val="single" w:sz="2" w:space="0" w:color="808080"/>
            </w:tcBorders>
            <w:shd w:val="clear" w:color="auto" w:fill="D9D9D9" w:themeFill="background1" w:themeFillShade="D9"/>
            <w:noWrap/>
            <w:vAlign w:val="center"/>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Sveukupno do 31.12.2025..</w:t>
            </w:r>
          </w:p>
        </w:tc>
        <w:tc>
          <w:tcPr>
            <w:tcW w:w="1825" w:type="dxa"/>
            <w:gridSpan w:val="2"/>
            <w:tcBorders>
              <w:top w:val="single" w:sz="2" w:space="0" w:color="808080"/>
              <w:left w:val="single" w:sz="2" w:space="0" w:color="808080"/>
              <w:bottom w:val="single" w:sz="2" w:space="0" w:color="808080"/>
            </w:tcBorders>
            <w:shd w:val="clear" w:color="auto" w:fill="D9D9D9" w:themeFill="background1" w:themeFillShade="D9"/>
            <w:vAlign w:val="center"/>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Stanje na dan 31.12.2025.</w:t>
            </w:r>
          </w:p>
        </w:tc>
      </w:tr>
      <w:tr w:rsidR="00935F1F" w:rsidRPr="00935F1F" w:rsidTr="0096002C">
        <w:trPr>
          <w:trHeight w:val="501"/>
          <w:tblHeader/>
          <w:jc w:val="center"/>
        </w:trPr>
        <w:tc>
          <w:tcPr>
            <w:tcW w:w="825" w:type="dxa"/>
            <w:vMerge/>
            <w:tcBorders>
              <w:top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rPr>
                <w:rFonts w:ascii="Times New Roman" w:eastAsia="Times New Roman" w:hAnsi="Times New Roman" w:cs="Times New Roman"/>
                <w:b/>
                <w:sz w:val="14"/>
                <w:szCs w:val="14"/>
              </w:rPr>
            </w:pPr>
          </w:p>
        </w:tc>
        <w:tc>
          <w:tcPr>
            <w:tcW w:w="870" w:type="dxa"/>
            <w:vMerge/>
            <w:tcBorders>
              <w:top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rPr>
                <w:rFonts w:ascii="Times New Roman" w:eastAsia="Times New Roman" w:hAnsi="Times New Roman" w:cs="Times New Roman"/>
                <w:b/>
                <w:sz w:val="14"/>
                <w:szCs w:val="14"/>
              </w:rPr>
            </w:pPr>
          </w:p>
        </w:tc>
        <w:tc>
          <w:tcPr>
            <w:tcW w:w="1002" w:type="dxa"/>
            <w:vMerge/>
            <w:tcBorders>
              <w:top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rPr>
                <w:rFonts w:ascii="Times New Roman" w:eastAsia="Times New Roman" w:hAnsi="Times New Roman" w:cs="Times New Roman"/>
                <w:b/>
                <w:sz w:val="14"/>
                <w:szCs w:val="14"/>
              </w:rPr>
            </w:pPr>
          </w:p>
        </w:tc>
        <w:tc>
          <w:tcPr>
            <w:tcW w:w="1002" w:type="dxa"/>
            <w:vMerge/>
            <w:tcBorders>
              <w:top w:val="single" w:sz="2" w:space="0" w:color="808080"/>
              <w:bottom w:val="single" w:sz="2" w:space="0" w:color="808080"/>
              <w:right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rPr>
                <w:rFonts w:ascii="Times New Roman" w:eastAsia="Times New Roman" w:hAnsi="Times New Roman" w:cs="Times New Roman"/>
                <w:b/>
                <w:sz w:val="14"/>
                <w:szCs w:val="14"/>
              </w:rPr>
            </w:pPr>
          </w:p>
        </w:tc>
        <w:tc>
          <w:tcPr>
            <w:tcW w:w="916" w:type="dxa"/>
            <w:tcBorders>
              <w:top w:val="single" w:sz="2" w:space="0" w:color="808080"/>
              <w:left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Ukupni prihod</w:t>
            </w:r>
          </w:p>
        </w:tc>
        <w:tc>
          <w:tcPr>
            <w:tcW w:w="916" w:type="dxa"/>
            <w:tcBorders>
              <w:top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Ukupni rashod</w:t>
            </w:r>
          </w:p>
        </w:tc>
        <w:tc>
          <w:tcPr>
            <w:tcW w:w="846" w:type="dxa"/>
            <w:tcBorders>
              <w:top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Ukupni prihod</w:t>
            </w:r>
          </w:p>
        </w:tc>
        <w:tc>
          <w:tcPr>
            <w:tcW w:w="846" w:type="dxa"/>
            <w:tcBorders>
              <w:top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Ukupni rashod</w:t>
            </w:r>
          </w:p>
        </w:tc>
        <w:tc>
          <w:tcPr>
            <w:tcW w:w="916" w:type="dxa"/>
            <w:tcBorders>
              <w:top w:val="single" w:sz="2" w:space="0" w:color="808080"/>
              <w:bottom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Ukupni primitak</w:t>
            </w:r>
          </w:p>
        </w:tc>
        <w:tc>
          <w:tcPr>
            <w:tcW w:w="916" w:type="dxa"/>
            <w:tcBorders>
              <w:top w:val="single" w:sz="2" w:space="0" w:color="808080"/>
              <w:bottom w:val="single" w:sz="2" w:space="0" w:color="808080"/>
              <w:right w:val="single" w:sz="2" w:space="0" w:color="808080"/>
            </w:tcBorders>
            <w:shd w:val="clear" w:color="auto" w:fill="D9D9D9" w:themeFill="background1" w:themeFillShade="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Ukupni rashod</w:t>
            </w:r>
          </w:p>
        </w:tc>
        <w:tc>
          <w:tcPr>
            <w:tcW w:w="979" w:type="dxa"/>
            <w:tcBorders>
              <w:top w:val="single" w:sz="2" w:space="0" w:color="808080"/>
              <w:left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 xml:space="preserve">Stanje potraživanja </w:t>
            </w:r>
          </w:p>
        </w:tc>
        <w:tc>
          <w:tcPr>
            <w:tcW w:w="846" w:type="dxa"/>
            <w:tcBorders>
              <w:top w:val="single" w:sz="2" w:space="0" w:color="808080"/>
              <w:bottom w:val="single" w:sz="2" w:space="0" w:color="808080"/>
            </w:tcBorders>
            <w:shd w:val="clear" w:color="auto" w:fill="D9D9D9" w:themeFill="background1" w:themeFillShade="D9"/>
            <w:vAlign w:val="center"/>
            <w:hideMark/>
          </w:tcPr>
          <w:p w:rsidR="00935F1F" w:rsidRPr="00935F1F" w:rsidRDefault="00935F1F" w:rsidP="00935F1F">
            <w:pPr>
              <w:spacing w:after="0" w:line="240" w:lineRule="auto"/>
              <w:jc w:val="center"/>
              <w:rPr>
                <w:rFonts w:ascii="Times New Roman" w:eastAsia="Times New Roman" w:hAnsi="Times New Roman" w:cs="Times New Roman"/>
                <w:b/>
                <w:sz w:val="14"/>
                <w:szCs w:val="14"/>
              </w:rPr>
            </w:pPr>
            <w:r w:rsidRPr="00935F1F">
              <w:rPr>
                <w:rFonts w:ascii="Times New Roman" w:eastAsia="Times New Roman" w:hAnsi="Times New Roman" w:cs="Times New Roman"/>
                <w:b/>
                <w:sz w:val="14"/>
                <w:szCs w:val="14"/>
              </w:rPr>
              <w:t>Stanje obveza za povrat avansa</w:t>
            </w:r>
          </w:p>
        </w:tc>
      </w:tr>
      <w:tr w:rsidR="00935F1F" w:rsidRPr="00935F1F" w:rsidTr="0096002C">
        <w:trPr>
          <w:trHeight w:val="306"/>
          <w:jc w:val="center"/>
        </w:trPr>
        <w:tc>
          <w:tcPr>
            <w:tcW w:w="825" w:type="dxa"/>
            <w:vMerge w:val="restart"/>
            <w:tcBorders>
              <w:top w:val="single" w:sz="2" w:space="0" w:color="808080"/>
              <w:left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xml:space="preserve">Rekonstrukcija postojećeg i izgradnja drugog kolosijeka željezničke pruge na dionici </w:t>
            </w:r>
            <w:r w:rsidRPr="00935F1F">
              <w:rPr>
                <w:rFonts w:ascii="Times New Roman" w:eastAsia="Times New Roman" w:hAnsi="Times New Roman" w:cs="Times New Roman"/>
                <w:b/>
                <w:bCs/>
                <w:sz w:val="14"/>
                <w:szCs w:val="14"/>
              </w:rPr>
              <w:t>Dugo Selo – Križevci</w:t>
            </w:r>
          </w:p>
        </w:tc>
        <w:tc>
          <w:tcPr>
            <w:tcW w:w="870"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OPP</w:t>
            </w:r>
          </w:p>
        </w:tc>
        <w:tc>
          <w:tcPr>
            <w:tcW w:w="1002" w:type="dxa"/>
            <w:vMerge w:val="restart"/>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8.6.2015</w:t>
            </w:r>
          </w:p>
        </w:tc>
        <w:tc>
          <w:tcPr>
            <w:tcW w:w="1002" w:type="dxa"/>
            <w:vMerge w:val="restart"/>
            <w:tcBorders>
              <w:top w:val="single" w:sz="2" w:space="0" w:color="808080"/>
              <w:bottom w:val="single" w:sz="2" w:space="0" w:color="A6A6A6"/>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164.354.117</w:t>
            </w:r>
          </w:p>
        </w:tc>
        <w:tc>
          <w:tcPr>
            <w:tcW w:w="916" w:type="dxa"/>
            <w:vMerge w:val="restart"/>
            <w:tcBorders>
              <w:top w:val="single" w:sz="2" w:space="0" w:color="808080"/>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96.662.592</w:t>
            </w:r>
          </w:p>
        </w:tc>
        <w:tc>
          <w:tcPr>
            <w:tcW w:w="916" w:type="dxa"/>
            <w:vMerge w:val="restart"/>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104.202.406</w:t>
            </w:r>
          </w:p>
        </w:tc>
        <w:tc>
          <w:tcPr>
            <w:tcW w:w="846" w:type="dxa"/>
            <w:vMerge w:val="restart"/>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vMerge w:val="restart"/>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0</w:t>
            </w:r>
          </w:p>
        </w:tc>
        <w:tc>
          <w:tcPr>
            <w:tcW w:w="916" w:type="dxa"/>
            <w:vMerge w:val="restart"/>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96.662.592</w:t>
            </w:r>
          </w:p>
        </w:tc>
        <w:tc>
          <w:tcPr>
            <w:tcW w:w="916" w:type="dxa"/>
            <w:vMerge w:val="restart"/>
            <w:tcBorders>
              <w:top w:val="single" w:sz="2" w:space="0" w:color="808080"/>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104.202.406</w:t>
            </w:r>
          </w:p>
        </w:tc>
        <w:tc>
          <w:tcPr>
            <w:tcW w:w="979" w:type="dxa"/>
            <w:vMerge w:val="restart"/>
            <w:tcBorders>
              <w:top w:val="single" w:sz="2" w:space="0" w:color="808080"/>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7.539.814</w:t>
            </w:r>
          </w:p>
        </w:tc>
        <w:tc>
          <w:tcPr>
            <w:tcW w:w="846" w:type="dxa"/>
            <w:vMerge w:val="restart"/>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1181"/>
          <w:jc w:val="center"/>
        </w:trPr>
        <w:tc>
          <w:tcPr>
            <w:tcW w:w="825" w:type="dxa"/>
            <w:vMerge/>
            <w:tcBorders>
              <w:top w:val="single" w:sz="2" w:space="0" w:color="A6A6A6"/>
              <w:left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870"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OPKK</w:t>
            </w:r>
          </w:p>
        </w:tc>
        <w:tc>
          <w:tcPr>
            <w:tcW w:w="1002" w:type="dxa"/>
            <w:vMerge/>
            <w:tcBorders>
              <w:top w:val="single" w:sz="2" w:space="0" w:color="A6A6A6"/>
              <w:bottom w:val="single" w:sz="2" w:space="0" w:color="A6A6A6"/>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1002" w:type="dxa"/>
            <w:vMerge/>
            <w:tcBorders>
              <w:top w:val="single" w:sz="2" w:space="0" w:color="A6A6A6"/>
              <w:bottom w:val="single" w:sz="2" w:space="0" w:color="A6A6A6"/>
              <w:right w:val="single" w:sz="2" w:space="0" w:color="808080"/>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916" w:type="dxa"/>
            <w:vMerge/>
            <w:tcBorders>
              <w:top w:val="single" w:sz="2" w:space="0" w:color="A6A6A6"/>
              <w:left w:val="single" w:sz="2" w:space="0" w:color="808080"/>
              <w:bottom w:val="single" w:sz="2" w:space="0" w:color="A6A6A6"/>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916" w:type="dxa"/>
            <w:vMerge/>
            <w:tcBorders>
              <w:top w:val="single" w:sz="2" w:space="0" w:color="A6A6A6"/>
              <w:bottom w:val="single" w:sz="2" w:space="0" w:color="A6A6A6"/>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846" w:type="dxa"/>
            <w:vMerge/>
            <w:tcBorders>
              <w:top w:val="single" w:sz="2" w:space="0" w:color="A6A6A6"/>
              <w:bottom w:val="single" w:sz="2" w:space="0" w:color="A6A6A6"/>
            </w:tcBorders>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c>
          <w:tcPr>
            <w:tcW w:w="846" w:type="dxa"/>
            <w:vMerge/>
            <w:tcBorders>
              <w:top w:val="single" w:sz="2" w:space="0" w:color="A6A6A6"/>
              <w:bottom w:val="single" w:sz="2" w:space="0" w:color="A6A6A6"/>
            </w:tcBorders>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c>
          <w:tcPr>
            <w:tcW w:w="916" w:type="dxa"/>
            <w:vMerge/>
            <w:tcBorders>
              <w:top w:val="single" w:sz="2" w:space="0" w:color="A6A6A6"/>
              <w:bottom w:val="single" w:sz="2" w:space="0" w:color="A6A6A6"/>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916" w:type="dxa"/>
            <w:vMerge/>
            <w:tcBorders>
              <w:top w:val="single" w:sz="2" w:space="0" w:color="A6A6A6"/>
              <w:bottom w:val="single" w:sz="2" w:space="0" w:color="A6A6A6"/>
              <w:right w:val="single" w:sz="2" w:space="0" w:color="808080"/>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c>
          <w:tcPr>
            <w:tcW w:w="979" w:type="dxa"/>
            <w:vMerge/>
            <w:tcBorders>
              <w:top w:val="single" w:sz="2" w:space="0" w:color="A6A6A6"/>
              <w:left w:val="single" w:sz="2" w:space="0" w:color="808080"/>
              <w:bottom w:val="single" w:sz="2" w:space="0" w:color="A6A6A6"/>
            </w:tcBorders>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c>
          <w:tcPr>
            <w:tcW w:w="846" w:type="dxa"/>
            <w:vMerge/>
            <w:tcBorders>
              <w:top w:val="single" w:sz="2" w:space="0" w:color="A6A6A6"/>
              <w:bottom w:val="single" w:sz="2" w:space="0" w:color="A6A6A6"/>
            </w:tcBorders>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p>
        </w:tc>
      </w:tr>
      <w:tr w:rsidR="00935F1F" w:rsidRPr="00935F1F" w:rsidTr="0096002C">
        <w:trPr>
          <w:trHeight w:val="665"/>
          <w:jc w:val="center"/>
        </w:trPr>
        <w:tc>
          <w:tcPr>
            <w:tcW w:w="825" w:type="dxa"/>
            <w:tcBorders>
              <w:top w:val="single" w:sz="2" w:space="0" w:color="A6A6A6"/>
              <w:left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Modernizacija i elektrifikacija pruge Zaprešić – Zabok</w:t>
            </w:r>
          </w:p>
        </w:tc>
        <w:tc>
          <w:tcPr>
            <w:tcW w:w="870"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OPKK</w:t>
            </w:r>
          </w:p>
        </w:tc>
        <w:tc>
          <w:tcPr>
            <w:tcW w:w="1002"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9.11.2017</w:t>
            </w:r>
          </w:p>
        </w:tc>
        <w:tc>
          <w:tcPr>
            <w:tcW w:w="1002" w:type="dxa"/>
            <w:tcBorders>
              <w:top w:val="single" w:sz="2" w:space="0" w:color="A6A6A6"/>
              <w:bottom w:val="single" w:sz="2" w:space="0" w:color="A6A6A6"/>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69.309.353</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59.044.031</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65.234.438</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59.044.031</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65.234.438</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6.190.406</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703"/>
          <w:jc w:val="center"/>
        </w:trPr>
        <w:tc>
          <w:tcPr>
            <w:tcW w:w="825" w:type="dxa"/>
            <w:tcBorders>
              <w:top w:val="single" w:sz="2" w:space="0" w:color="A6A6A6"/>
              <w:left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Nadogradnja i elektrifikacija željezničke pruge Vinkovci – Vukovar</w:t>
            </w:r>
          </w:p>
        </w:tc>
        <w:tc>
          <w:tcPr>
            <w:tcW w:w="870"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OPKK</w:t>
            </w:r>
          </w:p>
        </w:tc>
        <w:tc>
          <w:tcPr>
            <w:tcW w:w="1002"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21.5.2018</w:t>
            </w:r>
          </w:p>
        </w:tc>
        <w:tc>
          <w:tcPr>
            <w:tcW w:w="1002" w:type="dxa"/>
            <w:tcBorders>
              <w:top w:val="single" w:sz="2" w:space="0" w:color="A6A6A6"/>
              <w:bottom w:val="single" w:sz="2" w:space="0" w:color="A6A6A6"/>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58.249.536</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43.164.904</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43.657.448</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43.164.904</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43.657.448</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492.544</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1720"/>
          <w:jc w:val="center"/>
        </w:trPr>
        <w:tc>
          <w:tcPr>
            <w:tcW w:w="825" w:type="dxa"/>
            <w:tcBorders>
              <w:top w:val="single" w:sz="2" w:space="0" w:color="A6A6A6"/>
              <w:left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Rekonstrukcija postojećeg i izgradnja drugog kolosijeka na dionici Hrvatski Leskovac – Karlovac na željezničkoj pruzi M202 Zagreb GK – Rijeka</w:t>
            </w:r>
          </w:p>
        </w:tc>
        <w:tc>
          <w:tcPr>
            <w:tcW w:w="870"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OPKK</w:t>
            </w:r>
          </w:p>
        </w:tc>
        <w:tc>
          <w:tcPr>
            <w:tcW w:w="1002"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27.12.2019</w:t>
            </w:r>
          </w:p>
        </w:tc>
        <w:tc>
          <w:tcPr>
            <w:tcW w:w="1002" w:type="dxa"/>
            <w:tcBorders>
              <w:top w:val="single" w:sz="2" w:space="0" w:color="A6A6A6"/>
              <w:bottom w:val="single" w:sz="2" w:space="0" w:color="A6A6A6"/>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306.967.197</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21.252.067</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32.066.524</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10.339.191</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11.287.986</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31.591.257</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43.354.510</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11.763.253</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501"/>
          <w:jc w:val="center"/>
        </w:trPr>
        <w:tc>
          <w:tcPr>
            <w:tcW w:w="825" w:type="dxa"/>
            <w:tcBorders>
              <w:top w:val="single" w:sz="2" w:space="0" w:color="A6A6A6"/>
              <w:left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Modernizacija dionice željezničke pruge Karlovac – Oštarije</w:t>
            </w:r>
          </w:p>
        </w:tc>
        <w:tc>
          <w:tcPr>
            <w:tcW w:w="870"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OPKK</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6.12.2018</w:t>
            </w:r>
          </w:p>
        </w:tc>
        <w:tc>
          <w:tcPr>
            <w:tcW w:w="1002" w:type="dxa"/>
            <w:tcBorders>
              <w:top w:val="single" w:sz="2" w:space="0" w:color="A6A6A6"/>
              <w:bottom w:val="single" w:sz="2" w:space="0" w:color="A6A6A6"/>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7.841.002</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521.468</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545.253</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14.337</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108.936</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535.804</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654.189</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118.385</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540"/>
          <w:jc w:val="center"/>
        </w:trPr>
        <w:tc>
          <w:tcPr>
            <w:tcW w:w="825" w:type="dxa"/>
            <w:tcBorders>
              <w:top w:val="single" w:sz="2" w:space="0" w:color="A6A6A6"/>
              <w:left w:val="single" w:sz="2" w:space="0" w:color="808080"/>
              <w:bottom w:val="single" w:sz="2" w:space="0" w:color="808080"/>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Projekt osiguranja i modernizacije željezničko-cestovnih prijelaza</w:t>
            </w:r>
          </w:p>
        </w:tc>
        <w:tc>
          <w:tcPr>
            <w:tcW w:w="870" w:type="dxa"/>
            <w:tcBorders>
              <w:top w:val="single" w:sz="2" w:space="0" w:color="A6A6A6"/>
              <w:bottom w:val="single" w:sz="2" w:space="0" w:color="808080"/>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OPKK</w:t>
            </w:r>
          </w:p>
        </w:tc>
        <w:tc>
          <w:tcPr>
            <w:tcW w:w="1002"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1.2.2021</w:t>
            </w:r>
          </w:p>
        </w:tc>
        <w:tc>
          <w:tcPr>
            <w:tcW w:w="1002" w:type="dxa"/>
            <w:tcBorders>
              <w:top w:val="single" w:sz="2" w:space="0" w:color="A6A6A6"/>
              <w:bottom w:val="single" w:sz="2" w:space="0" w:color="808080"/>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18.920.377</w:t>
            </w:r>
          </w:p>
        </w:tc>
        <w:tc>
          <w:tcPr>
            <w:tcW w:w="916" w:type="dxa"/>
            <w:tcBorders>
              <w:top w:val="single" w:sz="2" w:space="0" w:color="A6A6A6"/>
              <w:left w:val="single" w:sz="2" w:space="0" w:color="808080"/>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5.761.998</w:t>
            </w:r>
          </w:p>
        </w:tc>
        <w:tc>
          <w:tcPr>
            <w:tcW w:w="91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6.377.358</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3.635.070</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3.137.428</w:t>
            </w:r>
          </w:p>
        </w:tc>
        <w:tc>
          <w:tcPr>
            <w:tcW w:w="91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9.397.068</w:t>
            </w:r>
          </w:p>
        </w:tc>
        <w:tc>
          <w:tcPr>
            <w:tcW w:w="916" w:type="dxa"/>
            <w:tcBorders>
              <w:top w:val="single" w:sz="2" w:space="0" w:color="A6A6A6"/>
              <w:bottom w:val="single" w:sz="2" w:space="0" w:color="808080"/>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9.514.786</w:t>
            </w:r>
          </w:p>
        </w:tc>
        <w:tc>
          <w:tcPr>
            <w:tcW w:w="979" w:type="dxa"/>
            <w:tcBorders>
              <w:top w:val="single" w:sz="2" w:space="0" w:color="A6A6A6"/>
              <w:left w:val="single" w:sz="2" w:space="0" w:color="808080"/>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117.718</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334"/>
          <w:jc w:val="center"/>
        </w:trPr>
        <w:tc>
          <w:tcPr>
            <w:tcW w:w="2697" w:type="dxa"/>
            <w:gridSpan w:val="3"/>
            <w:tcBorders>
              <w:top w:val="single" w:sz="2" w:space="0" w:color="808080"/>
              <w:bottom w:val="single" w:sz="2" w:space="0" w:color="808080"/>
            </w:tcBorders>
            <w:shd w:val="clear" w:color="auto" w:fill="F2F2F2" w:themeFill="background1" w:themeFillShade="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ukupno OPKK</w:t>
            </w:r>
          </w:p>
        </w:tc>
        <w:tc>
          <w:tcPr>
            <w:tcW w:w="1002" w:type="dxa"/>
            <w:tcBorders>
              <w:top w:val="single" w:sz="2" w:space="0" w:color="808080"/>
              <w:bottom w:val="single" w:sz="2" w:space="0" w:color="808080"/>
              <w:right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625.641.580</w:t>
            </w:r>
          </w:p>
        </w:tc>
        <w:tc>
          <w:tcPr>
            <w:tcW w:w="916" w:type="dxa"/>
            <w:tcBorders>
              <w:top w:val="single" w:sz="2" w:space="0" w:color="808080"/>
              <w:left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226.407.059</w:t>
            </w:r>
          </w:p>
        </w:tc>
        <w:tc>
          <w:tcPr>
            <w:tcW w:w="91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252.083.427</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13.988.597</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14.534.350</w:t>
            </w:r>
          </w:p>
        </w:tc>
        <w:tc>
          <w:tcPr>
            <w:tcW w:w="91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240.395.657</w:t>
            </w:r>
          </w:p>
        </w:tc>
        <w:tc>
          <w:tcPr>
            <w:tcW w:w="916" w:type="dxa"/>
            <w:tcBorders>
              <w:top w:val="single" w:sz="2" w:space="0" w:color="808080"/>
              <w:bottom w:val="single" w:sz="2" w:space="0" w:color="808080"/>
              <w:right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266.617.777</w:t>
            </w:r>
          </w:p>
        </w:tc>
        <w:tc>
          <w:tcPr>
            <w:tcW w:w="979" w:type="dxa"/>
            <w:tcBorders>
              <w:top w:val="single" w:sz="2" w:space="0" w:color="808080"/>
              <w:left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26.222.121</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r>
      <w:tr w:rsidR="00935F1F" w:rsidRPr="00935F1F" w:rsidTr="0096002C">
        <w:trPr>
          <w:trHeight w:val="1310"/>
          <w:jc w:val="center"/>
        </w:trPr>
        <w:tc>
          <w:tcPr>
            <w:tcW w:w="825" w:type="dxa"/>
            <w:tcBorders>
              <w:top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lastRenderedPageBreak/>
              <w:t>Rekonstrukcija postojećeg i izgradnja drugog kolosijeka na dionici Križevci – Koprivnica – državna granica</w:t>
            </w:r>
          </w:p>
        </w:tc>
        <w:tc>
          <w:tcPr>
            <w:tcW w:w="870"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6.10.2016</w:t>
            </w:r>
          </w:p>
        </w:tc>
        <w:tc>
          <w:tcPr>
            <w:tcW w:w="1002" w:type="dxa"/>
            <w:tcBorders>
              <w:top w:val="single" w:sz="2" w:space="0" w:color="808080"/>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241.346.218</w:t>
            </w:r>
          </w:p>
        </w:tc>
        <w:tc>
          <w:tcPr>
            <w:tcW w:w="916" w:type="dxa"/>
            <w:tcBorders>
              <w:top w:val="single" w:sz="2" w:space="0" w:color="808080"/>
              <w:left w:val="single" w:sz="2" w:space="0" w:color="808080"/>
              <w:bottom w:val="single" w:sz="2" w:space="0" w:color="A6A6A6"/>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165.944.095</w:t>
            </w:r>
          </w:p>
        </w:tc>
        <w:tc>
          <w:tcPr>
            <w:tcW w:w="91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214.626.028</w:t>
            </w:r>
          </w:p>
        </w:tc>
        <w:tc>
          <w:tcPr>
            <w:tcW w:w="84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108.997</w:t>
            </w:r>
          </w:p>
        </w:tc>
        <w:tc>
          <w:tcPr>
            <w:tcW w:w="91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165.944.095</w:t>
            </w:r>
          </w:p>
        </w:tc>
        <w:tc>
          <w:tcPr>
            <w:tcW w:w="916" w:type="dxa"/>
            <w:tcBorders>
              <w:top w:val="single" w:sz="2" w:space="0" w:color="808080"/>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214.735.025</w:t>
            </w:r>
          </w:p>
        </w:tc>
        <w:tc>
          <w:tcPr>
            <w:tcW w:w="979" w:type="dxa"/>
            <w:tcBorders>
              <w:top w:val="single" w:sz="2" w:space="0" w:color="808080"/>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48.790.930</w:t>
            </w:r>
          </w:p>
        </w:tc>
        <w:tc>
          <w:tcPr>
            <w:tcW w:w="84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846"/>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Modernizacija i nadogradnja željezničke pruge na dionici Škrljevo – Rijeka – Jurdani</w:t>
            </w:r>
          </w:p>
        </w:tc>
        <w:tc>
          <w:tcPr>
            <w:tcW w:w="870"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23.11.2015</w:t>
            </w:r>
          </w:p>
        </w:tc>
        <w:tc>
          <w:tcPr>
            <w:tcW w:w="1002"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4.558.649</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3.544.195</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3.466.616</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667.823</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3.544.195</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4.134.439</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590.244</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r>
      <w:tr w:rsidR="00935F1F" w:rsidRPr="00935F1F" w:rsidTr="0096002C">
        <w:trPr>
          <w:trHeight w:val="860"/>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Dokumentacija za rekonstrukciju željezničke pruge Okučani – Vinkovci</w:t>
            </w:r>
          </w:p>
        </w:tc>
        <w:tc>
          <w:tcPr>
            <w:tcW w:w="870"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27.10.2017</w:t>
            </w:r>
          </w:p>
        </w:tc>
        <w:tc>
          <w:tcPr>
            <w:tcW w:w="1002"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9.535.045</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3.257.791</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2.737.095</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577.336</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3.257.791</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3.314.430</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56.639</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r>
      <w:tr w:rsidR="00935F1F" w:rsidRPr="00935F1F" w:rsidTr="0096002C">
        <w:trPr>
          <w:trHeight w:val="1172"/>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Izrada tehničke dokumentacije za modernizaciju željezničke pruge M202 Zagreb GK – Rijeka, na dionici Oštarije – Škrljevo</w:t>
            </w:r>
          </w:p>
        </w:tc>
        <w:tc>
          <w:tcPr>
            <w:tcW w:w="870"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23.11.2015</w:t>
            </w:r>
          </w:p>
        </w:tc>
        <w:tc>
          <w:tcPr>
            <w:tcW w:w="1002"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1.676.940</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4.040.583</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1.818.581</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1.023.951</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4.040.583</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2.842.532</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A6A6A6"/>
            </w:tcBorders>
            <w:shd w:val="clear" w:color="auto" w:fill="auto"/>
            <w:noWrap/>
            <w:vAlign w:val="center"/>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1.198.051</w:t>
            </w:r>
          </w:p>
        </w:tc>
      </w:tr>
      <w:tr w:rsidR="00935F1F" w:rsidRPr="00935F1F" w:rsidTr="0096002C">
        <w:trPr>
          <w:trHeight w:val="1252"/>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Unaprjeđenje željezničke infrastrukture kroz uspostavu mjernih stanica za sigurnosne i tehničke kontrole</w:t>
            </w:r>
          </w:p>
        </w:tc>
        <w:tc>
          <w:tcPr>
            <w:tcW w:w="870"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11.11.2020</w:t>
            </w:r>
          </w:p>
        </w:tc>
        <w:tc>
          <w:tcPr>
            <w:tcW w:w="1002"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14.509.242</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3.463.079</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3.300.682</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2.281.915</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3.463.079</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5.582.598</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2.119.519</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r>
      <w:tr w:rsidR="00935F1F" w:rsidRPr="00935F1F" w:rsidTr="0096002C">
        <w:trPr>
          <w:trHeight w:val="958"/>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Modernizacija željezničke pruge na dionici Zagreb Glavni kolodvor – Hrvatski Leskovac – izrada dokumentacije</w:t>
            </w:r>
          </w:p>
        </w:tc>
        <w:tc>
          <w:tcPr>
            <w:tcW w:w="870"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16.11.2021</w:t>
            </w:r>
          </w:p>
        </w:tc>
        <w:tc>
          <w:tcPr>
            <w:tcW w:w="1002"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2.805.000</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1.402.500</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98.039</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905</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1.402.500</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98.944</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1.303.556</w:t>
            </w:r>
          </w:p>
        </w:tc>
      </w:tr>
      <w:tr w:rsidR="00935F1F" w:rsidRPr="00935F1F" w:rsidTr="0096002C">
        <w:trPr>
          <w:trHeight w:val="213"/>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Primjena telematskih aplikacija za europsku interoperabilnost​</w:t>
            </w:r>
          </w:p>
        </w:tc>
        <w:tc>
          <w:tcPr>
            <w:tcW w:w="870"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4.7.2019</w:t>
            </w:r>
          </w:p>
        </w:tc>
        <w:tc>
          <w:tcPr>
            <w:tcW w:w="1002"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14.387.982</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293.101</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416.952</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112.098</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405.199</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416.952</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11.753</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601"/>
          <w:jc w:val="center"/>
        </w:trPr>
        <w:tc>
          <w:tcPr>
            <w:tcW w:w="825" w:type="dxa"/>
            <w:tcBorders>
              <w:top w:val="single" w:sz="2" w:space="0" w:color="A6A6A6"/>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Unapređenje infrastrukture u luci Rijeka – kontejnerski terminal Zagrebačko pristanište (POR2CORE-ZCT)</w:t>
            </w:r>
          </w:p>
        </w:tc>
        <w:tc>
          <w:tcPr>
            <w:tcW w:w="870" w:type="dxa"/>
            <w:tcBorders>
              <w:top w:val="single" w:sz="2" w:space="0" w:color="A6A6A6"/>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18.11.2016</w:t>
            </w:r>
          </w:p>
        </w:tc>
        <w:tc>
          <w:tcPr>
            <w:tcW w:w="1002" w:type="dxa"/>
            <w:tcBorders>
              <w:top w:val="single" w:sz="2" w:space="0" w:color="A6A6A6"/>
              <w:bottom w:val="single" w:sz="2" w:space="0" w:color="A6A6A6"/>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26.849.056</w:t>
            </w:r>
          </w:p>
        </w:tc>
        <w:tc>
          <w:tcPr>
            <w:tcW w:w="916"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12.970.910</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12.678.878</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0</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91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12.970.910</w:t>
            </w:r>
          </w:p>
        </w:tc>
        <w:tc>
          <w:tcPr>
            <w:tcW w:w="916" w:type="dxa"/>
            <w:tcBorders>
              <w:top w:val="single" w:sz="2" w:space="0" w:color="A6A6A6"/>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12.678.878</w:t>
            </w:r>
          </w:p>
        </w:tc>
        <w:tc>
          <w:tcPr>
            <w:tcW w:w="979" w:type="dxa"/>
            <w:tcBorders>
              <w:top w:val="single" w:sz="2" w:space="0" w:color="A6A6A6"/>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292.032</w:t>
            </w:r>
          </w:p>
        </w:tc>
      </w:tr>
      <w:tr w:rsidR="00935F1F" w:rsidRPr="00935F1F" w:rsidTr="0096002C">
        <w:trPr>
          <w:trHeight w:val="1253"/>
          <w:jc w:val="center"/>
        </w:trPr>
        <w:tc>
          <w:tcPr>
            <w:tcW w:w="825" w:type="dxa"/>
            <w:tcBorders>
              <w:top w:val="single" w:sz="2" w:space="0" w:color="A6A6A6"/>
              <w:bottom w:val="single" w:sz="2" w:space="0" w:color="808080"/>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Rekonstrukcija postojećeg i izgradnja drugog kolosijeka željezničke pruge Dugo Selo - Novska na dionici Ivanić Grad - Kutina</w:t>
            </w:r>
          </w:p>
        </w:tc>
        <w:tc>
          <w:tcPr>
            <w:tcW w:w="870" w:type="dxa"/>
            <w:tcBorders>
              <w:top w:val="single" w:sz="2" w:space="0" w:color="A6A6A6"/>
              <w:bottom w:val="single" w:sz="2" w:space="0" w:color="808080"/>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CEF</w:t>
            </w:r>
          </w:p>
        </w:tc>
        <w:tc>
          <w:tcPr>
            <w:tcW w:w="1002"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1002" w:type="dxa"/>
            <w:tcBorders>
              <w:top w:val="single" w:sz="2" w:space="0" w:color="A6A6A6"/>
              <w:bottom w:val="single" w:sz="2" w:space="0" w:color="808080"/>
              <w:right w:val="single" w:sz="2" w:space="0" w:color="808080"/>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916" w:type="dxa"/>
            <w:tcBorders>
              <w:top w:val="single" w:sz="2" w:space="0" w:color="A6A6A6"/>
              <w:left w:val="single" w:sz="2" w:space="0" w:color="808080"/>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85.965.304</w:t>
            </w:r>
          </w:p>
        </w:tc>
        <w:tc>
          <w:tcPr>
            <w:tcW w:w="91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367.710</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743.473</w:t>
            </w:r>
          </w:p>
        </w:tc>
        <w:tc>
          <w:tcPr>
            <w:tcW w:w="91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85.965.304</w:t>
            </w:r>
          </w:p>
        </w:tc>
        <w:tc>
          <w:tcPr>
            <w:tcW w:w="916" w:type="dxa"/>
            <w:tcBorders>
              <w:top w:val="single" w:sz="2" w:space="0" w:color="A6A6A6"/>
              <w:bottom w:val="single" w:sz="2" w:space="0" w:color="808080"/>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1.111.183</w:t>
            </w:r>
          </w:p>
        </w:tc>
        <w:tc>
          <w:tcPr>
            <w:tcW w:w="979" w:type="dxa"/>
            <w:tcBorders>
              <w:top w:val="single" w:sz="2" w:space="0" w:color="A6A6A6"/>
              <w:left w:val="single" w:sz="2" w:space="0" w:color="808080"/>
              <w:bottom w:val="single" w:sz="2" w:space="0" w:color="808080"/>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84.854.122</w:t>
            </w:r>
          </w:p>
        </w:tc>
      </w:tr>
      <w:tr w:rsidR="00935F1F" w:rsidRPr="00935F1F" w:rsidTr="0096002C">
        <w:trPr>
          <w:trHeight w:val="334"/>
          <w:jc w:val="center"/>
        </w:trPr>
        <w:tc>
          <w:tcPr>
            <w:tcW w:w="2697" w:type="dxa"/>
            <w:gridSpan w:val="3"/>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xml:space="preserve">                                                                  ukupno </w:t>
            </w:r>
          </w:p>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xml:space="preserve">                                                                  CEF</w:t>
            </w:r>
          </w:p>
        </w:tc>
        <w:tc>
          <w:tcPr>
            <w:tcW w:w="1002" w:type="dxa"/>
            <w:tcBorders>
              <w:top w:val="single" w:sz="2" w:space="0" w:color="808080"/>
              <w:bottom w:val="single" w:sz="2" w:space="0" w:color="808080"/>
              <w:right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315.668.132</w:t>
            </w:r>
          </w:p>
        </w:tc>
        <w:tc>
          <w:tcPr>
            <w:tcW w:w="916" w:type="dxa"/>
            <w:tcBorders>
              <w:top w:val="single" w:sz="2" w:space="0" w:color="808080"/>
              <w:left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280.881.558</w:t>
            </w:r>
          </w:p>
        </w:tc>
        <w:tc>
          <w:tcPr>
            <w:tcW w:w="91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239.510.581</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112.098</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5.404.401</w:t>
            </w:r>
          </w:p>
        </w:tc>
        <w:tc>
          <w:tcPr>
            <w:tcW w:w="91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280.993.656</w:t>
            </w:r>
          </w:p>
        </w:tc>
        <w:tc>
          <w:tcPr>
            <w:tcW w:w="916" w:type="dxa"/>
            <w:tcBorders>
              <w:top w:val="single" w:sz="2" w:space="0" w:color="808080"/>
              <w:bottom w:val="single" w:sz="2" w:space="0" w:color="808080"/>
              <w:right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244.914.981</w:t>
            </w:r>
          </w:p>
        </w:tc>
        <w:tc>
          <w:tcPr>
            <w:tcW w:w="979" w:type="dxa"/>
            <w:tcBorders>
              <w:top w:val="single" w:sz="2" w:space="0" w:color="808080"/>
              <w:left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51.569.085</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87.647.760</w:t>
            </w:r>
          </w:p>
        </w:tc>
      </w:tr>
      <w:tr w:rsidR="00935F1F" w:rsidRPr="00935F1F" w:rsidTr="0096002C">
        <w:trPr>
          <w:trHeight w:val="535"/>
          <w:jc w:val="center"/>
        </w:trPr>
        <w:tc>
          <w:tcPr>
            <w:tcW w:w="825" w:type="dxa"/>
            <w:tcBorders>
              <w:top w:val="single" w:sz="2" w:space="0" w:color="808080"/>
              <w:bottom w:val="single" w:sz="2" w:space="0" w:color="A6A6A6"/>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xml:space="preserve">Modernizacija dionice Zagreb Kustošija – Zagreb Zapadni kolodvor – Zagreb Glavni </w:t>
            </w:r>
            <w:r w:rsidRPr="00935F1F">
              <w:rPr>
                <w:rFonts w:ascii="Times New Roman" w:eastAsia="Times New Roman" w:hAnsi="Times New Roman" w:cs="Times New Roman"/>
                <w:sz w:val="14"/>
                <w:szCs w:val="14"/>
              </w:rPr>
              <w:lastRenderedPageBreak/>
              <w:t>kolodvor</w:t>
            </w:r>
          </w:p>
        </w:tc>
        <w:tc>
          <w:tcPr>
            <w:tcW w:w="870" w:type="dxa"/>
            <w:tcBorders>
              <w:top w:val="single" w:sz="2" w:space="0" w:color="808080"/>
              <w:bottom w:val="single" w:sz="2" w:space="0" w:color="A6A6A6"/>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lastRenderedPageBreak/>
              <w:t>NPOO</w:t>
            </w:r>
          </w:p>
        </w:tc>
        <w:tc>
          <w:tcPr>
            <w:tcW w:w="1002"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21.12.2022</w:t>
            </w:r>
          </w:p>
        </w:tc>
        <w:tc>
          <w:tcPr>
            <w:tcW w:w="1002" w:type="dxa"/>
            <w:tcBorders>
              <w:top w:val="single" w:sz="2" w:space="0" w:color="808080"/>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29.224.235</w:t>
            </w:r>
          </w:p>
        </w:tc>
        <w:tc>
          <w:tcPr>
            <w:tcW w:w="916" w:type="dxa"/>
            <w:tcBorders>
              <w:top w:val="single" w:sz="2" w:space="0" w:color="808080"/>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27.057.810</w:t>
            </w:r>
          </w:p>
        </w:tc>
        <w:tc>
          <w:tcPr>
            <w:tcW w:w="91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27.767.275</w:t>
            </w:r>
          </w:p>
        </w:tc>
        <w:tc>
          <w:tcPr>
            <w:tcW w:w="84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1.682.256</w:t>
            </w:r>
          </w:p>
        </w:tc>
        <w:tc>
          <w:tcPr>
            <w:tcW w:w="84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323.276</w:t>
            </w:r>
          </w:p>
        </w:tc>
        <w:tc>
          <w:tcPr>
            <w:tcW w:w="91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28.740.065</w:t>
            </w:r>
          </w:p>
        </w:tc>
        <w:tc>
          <w:tcPr>
            <w:tcW w:w="916" w:type="dxa"/>
            <w:tcBorders>
              <w:top w:val="single" w:sz="2" w:space="0" w:color="808080"/>
              <w:bottom w:val="single" w:sz="2" w:space="0" w:color="A6A6A6"/>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28.090.552</w:t>
            </w:r>
          </w:p>
        </w:tc>
        <w:tc>
          <w:tcPr>
            <w:tcW w:w="979" w:type="dxa"/>
            <w:tcBorders>
              <w:top w:val="single" w:sz="2" w:space="0" w:color="808080"/>
              <w:left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p>
        </w:tc>
        <w:tc>
          <w:tcPr>
            <w:tcW w:w="846" w:type="dxa"/>
            <w:tcBorders>
              <w:top w:val="single" w:sz="2" w:space="0" w:color="808080"/>
              <w:bottom w:val="single" w:sz="2" w:space="0" w:color="A6A6A6"/>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649.514</w:t>
            </w:r>
          </w:p>
        </w:tc>
      </w:tr>
      <w:tr w:rsidR="00935F1F" w:rsidRPr="00935F1F" w:rsidTr="0096002C">
        <w:trPr>
          <w:trHeight w:val="65"/>
          <w:jc w:val="center"/>
        </w:trPr>
        <w:tc>
          <w:tcPr>
            <w:tcW w:w="825" w:type="dxa"/>
            <w:tcBorders>
              <w:top w:val="single" w:sz="2" w:space="0" w:color="A6A6A6"/>
              <w:bottom w:val="single" w:sz="2" w:space="0" w:color="808080"/>
            </w:tcBorders>
            <w:shd w:val="clear" w:color="auto" w:fill="F2F2F2" w:themeFill="background1" w:themeFillShade="F2"/>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OBNOVA „​uskih grla“ na željezničkoj infrastrukturi</w:t>
            </w:r>
          </w:p>
        </w:tc>
        <w:tc>
          <w:tcPr>
            <w:tcW w:w="870" w:type="dxa"/>
            <w:tcBorders>
              <w:top w:val="single" w:sz="2" w:space="0" w:color="A6A6A6"/>
              <w:bottom w:val="single" w:sz="2" w:space="0" w:color="808080"/>
            </w:tcBorders>
            <w:shd w:val="clear" w:color="auto" w:fill="auto"/>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NPOO</w:t>
            </w:r>
          </w:p>
        </w:tc>
        <w:tc>
          <w:tcPr>
            <w:tcW w:w="1002"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4.10.2023</w:t>
            </w:r>
          </w:p>
        </w:tc>
        <w:tc>
          <w:tcPr>
            <w:tcW w:w="1002" w:type="dxa"/>
            <w:tcBorders>
              <w:top w:val="single" w:sz="2" w:space="0" w:color="A6A6A6"/>
              <w:bottom w:val="single" w:sz="2" w:space="0" w:color="808080"/>
              <w:right w:val="single" w:sz="2" w:space="0" w:color="808080"/>
            </w:tcBorders>
            <w:shd w:val="clear" w:color="auto" w:fill="auto"/>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19.908.421</w:t>
            </w:r>
          </w:p>
        </w:tc>
        <w:tc>
          <w:tcPr>
            <w:tcW w:w="916" w:type="dxa"/>
            <w:tcBorders>
              <w:top w:val="single" w:sz="2" w:space="0" w:color="A6A6A6"/>
              <w:left w:val="single" w:sz="2" w:space="0" w:color="808080"/>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5.446.860</w:t>
            </w:r>
          </w:p>
        </w:tc>
        <w:tc>
          <w:tcPr>
            <w:tcW w:w="91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6.841.385</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4.747.215</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4.718.874</w:t>
            </w:r>
          </w:p>
        </w:tc>
        <w:tc>
          <w:tcPr>
            <w:tcW w:w="91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10.194.075</w:t>
            </w:r>
          </w:p>
        </w:tc>
        <w:tc>
          <w:tcPr>
            <w:tcW w:w="916" w:type="dxa"/>
            <w:tcBorders>
              <w:top w:val="single" w:sz="2" w:space="0" w:color="A6A6A6"/>
              <w:bottom w:val="single" w:sz="2" w:space="0" w:color="808080"/>
              <w:right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11.560.260</w:t>
            </w:r>
          </w:p>
        </w:tc>
        <w:tc>
          <w:tcPr>
            <w:tcW w:w="979" w:type="dxa"/>
            <w:tcBorders>
              <w:top w:val="single" w:sz="2" w:space="0" w:color="A6A6A6"/>
              <w:left w:val="single" w:sz="2" w:space="0" w:color="808080"/>
              <w:bottom w:val="single" w:sz="2" w:space="0" w:color="808080"/>
            </w:tcBorders>
            <w:shd w:val="clear" w:color="auto" w:fill="auto"/>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1.366.184</w:t>
            </w:r>
          </w:p>
        </w:tc>
        <w:tc>
          <w:tcPr>
            <w:tcW w:w="846" w:type="dxa"/>
            <w:tcBorders>
              <w:top w:val="single" w:sz="2" w:space="0" w:color="A6A6A6"/>
              <w:bottom w:val="single" w:sz="2" w:space="0" w:color="808080"/>
            </w:tcBorders>
            <w:shd w:val="clear" w:color="auto" w:fill="auto"/>
            <w:noWrap/>
            <w:vAlign w:val="center"/>
            <w:hideMark/>
          </w:tcPr>
          <w:p w:rsidR="00935F1F" w:rsidRPr="00935F1F" w:rsidRDefault="00935F1F" w:rsidP="00935F1F">
            <w:pPr>
              <w:spacing w:after="0" w:line="240" w:lineRule="auto"/>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w:t>
            </w:r>
          </w:p>
        </w:tc>
      </w:tr>
      <w:tr w:rsidR="00935F1F" w:rsidRPr="00935F1F" w:rsidTr="0096002C">
        <w:trPr>
          <w:trHeight w:val="334"/>
          <w:jc w:val="center"/>
        </w:trPr>
        <w:tc>
          <w:tcPr>
            <w:tcW w:w="2697" w:type="dxa"/>
            <w:gridSpan w:val="3"/>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xml:space="preserve">                                                                  ukupno </w:t>
            </w:r>
          </w:p>
          <w:p w:rsidR="00935F1F" w:rsidRPr="00935F1F" w:rsidRDefault="00935F1F" w:rsidP="00935F1F">
            <w:pPr>
              <w:spacing w:after="0" w:line="240" w:lineRule="auto"/>
              <w:jc w:val="center"/>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 xml:space="preserve">                                                                 NPOO</w:t>
            </w:r>
          </w:p>
        </w:tc>
        <w:tc>
          <w:tcPr>
            <w:tcW w:w="1002" w:type="dxa"/>
            <w:tcBorders>
              <w:top w:val="single" w:sz="2" w:space="0" w:color="808080"/>
              <w:bottom w:val="single" w:sz="2" w:space="0" w:color="808080"/>
              <w:right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49.132.656</w:t>
            </w:r>
          </w:p>
        </w:tc>
        <w:tc>
          <w:tcPr>
            <w:tcW w:w="916" w:type="dxa"/>
            <w:tcBorders>
              <w:top w:val="single" w:sz="2" w:space="0" w:color="808080"/>
              <w:left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32.504.670</w:t>
            </w:r>
          </w:p>
        </w:tc>
        <w:tc>
          <w:tcPr>
            <w:tcW w:w="91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34.608.661</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6.429.470</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5.042.151</w:t>
            </w:r>
          </w:p>
        </w:tc>
        <w:tc>
          <w:tcPr>
            <w:tcW w:w="91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38.934.141</w:t>
            </w:r>
          </w:p>
        </w:tc>
        <w:tc>
          <w:tcPr>
            <w:tcW w:w="916" w:type="dxa"/>
            <w:tcBorders>
              <w:top w:val="single" w:sz="2" w:space="0" w:color="808080"/>
              <w:bottom w:val="single" w:sz="2" w:space="0" w:color="808080"/>
              <w:right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39.650.811</w:t>
            </w:r>
          </w:p>
        </w:tc>
        <w:tc>
          <w:tcPr>
            <w:tcW w:w="979" w:type="dxa"/>
            <w:tcBorders>
              <w:top w:val="single" w:sz="2" w:space="0" w:color="808080"/>
              <w:left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1.366.184</w:t>
            </w:r>
          </w:p>
        </w:tc>
        <w:tc>
          <w:tcPr>
            <w:tcW w:w="846" w:type="dxa"/>
            <w:tcBorders>
              <w:top w:val="single" w:sz="2" w:space="0" w:color="808080"/>
              <w:bottom w:val="single" w:sz="2" w:space="0" w:color="808080"/>
            </w:tcBorders>
            <w:shd w:val="clear" w:color="000000" w:fill="F2F2F2"/>
            <w:noWrap/>
            <w:vAlign w:val="center"/>
            <w:hideMark/>
          </w:tcPr>
          <w:p w:rsidR="00935F1F" w:rsidRPr="00935F1F" w:rsidRDefault="00935F1F" w:rsidP="00935F1F">
            <w:pPr>
              <w:spacing w:after="0" w:line="240" w:lineRule="auto"/>
              <w:jc w:val="right"/>
              <w:rPr>
                <w:rFonts w:ascii="Times New Roman" w:eastAsia="Times New Roman" w:hAnsi="Times New Roman" w:cs="Times New Roman"/>
                <w:sz w:val="14"/>
                <w:szCs w:val="14"/>
              </w:rPr>
            </w:pPr>
            <w:r w:rsidRPr="00935F1F">
              <w:rPr>
                <w:rFonts w:ascii="Times New Roman" w:eastAsia="Times New Roman" w:hAnsi="Times New Roman" w:cs="Times New Roman"/>
                <w:sz w:val="14"/>
                <w:szCs w:val="14"/>
              </w:rPr>
              <w:t>649.514</w:t>
            </w:r>
          </w:p>
        </w:tc>
      </w:tr>
      <w:tr w:rsidR="00935F1F" w:rsidRPr="00935F1F" w:rsidTr="0096002C">
        <w:trPr>
          <w:trHeight w:val="334"/>
          <w:jc w:val="center"/>
        </w:trPr>
        <w:tc>
          <w:tcPr>
            <w:tcW w:w="825" w:type="dxa"/>
            <w:tcBorders>
              <w:top w:val="single" w:sz="2" w:space="0" w:color="808080"/>
            </w:tcBorders>
            <w:shd w:val="clear" w:color="000000" w:fill="D9D9D9"/>
            <w:noWrap/>
            <w:vAlign w:val="center"/>
            <w:hideMark/>
          </w:tcPr>
          <w:p w:rsidR="00935F1F" w:rsidRPr="00935F1F" w:rsidRDefault="00935F1F" w:rsidP="00935F1F">
            <w:pPr>
              <w:spacing w:after="0" w:line="240" w:lineRule="auto"/>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 </w:t>
            </w:r>
          </w:p>
        </w:tc>
        <w:tc>
          <w:tcPr>
            <w:tcW w:w="870" w:type="dxa"/>
            <w:tcBorders>
              <w:top w:val="single" w:sz="2" w:space="0" w:color="808080"/>
            </w:tcBorders>
            <w:shd w:val="clear" w:color="000000" w:fill="D9D9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UKUPNO</w:t>
            </w:r>
          </w:p>
        </w:tc>
        <w:tc>
          <w:tcPr>
            <w:tcW w:w="1002" w:type="dxa"/>
            <w:tcBorders>
              <w:top w:val="single" w:sz="2" w:space="0" w:color="808080"/>
            </w:tcBorders>
            <w:shd w:val="clear" w:color="000000" w:fill="D9D9D9"/>
            <w:noWrap/>
            <w:vAlign w:val="center"/>
            <w:hideMark/>
          </w:tcPr>
          <w:p w:rsidR="00935F1F" w:rsidRPr="00935F1F" w:rsidRDefault="00935F1F" w:rsidP="00935F1F">
            <w:pPr>
              <w:spacing w:after="0" w:line="240" w:lineRule="auto"/>
              <w:jc w:val="center"/>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 </w:t>
            </w:r>
          </w:p>
        </w:tc>
        <w:tc>
          <w:tcPr>
            <w:tcW w:w="1002" w:type="dxa"/>
            <w:tcBorders>
              <w:top w:val="single" w:sz="2" w:space="0" w:color="808080"/>
              <w:bottom w:val="single" w:sz="2" w:space="0" w:color="808080"/>
              <w:right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990.442.369</w:t>
            </w:r>
          </w:p>
        </w:tc>
        <w:tc>
          <w:tcPr>
            <w:tcW w:w="916" w:type="dxa"/>
            <w:tcBorders>
              <w:top w:val="single" w:sz="2" w:space="0" w:color="808080"/>
              <w:left w:val="single" w:sz="2" w:space="0" w:color="808080"/>
              <w:bottom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539.793.287</w:t>
            </w:r>
          </w:p>
        </w:tc>
        <w:tc>
          <w:tcPr>
            <w:tcW w:w="916" w:type="dxa"/>
            <w:tcBorders>
              <w:top w:val="single" w:sz="2" w:space="0" w:color="808080"/>
              <w:bottom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526.202.668</w:t>
            </w:r>
          </w:p>
        </w:tc>
        <w:tc>
          <w:tcPr>
            <w:tcW w:w="846" w:type="dxa"/>
            <w:tcBorders>
              <w:top w:val="single" w:sz="2" w:space="0" w:color="808080"/>
              <w:bottom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20.530.167</w:t>
            </w:r>
          </w:p>
        </w:tc>
        <w:tc>
          <w:tcPr>
            <w:tcW w:w="846" w:type="dxa"/>
            <w:tcBorders>
              <w:top w:val="single" w:sz="2" w:space="0" w:color="808080"/>
              <w:bottom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24.980.902</w:t>
            </w:r>
          </w:p>
        </w:tc>
        <w:tc>
          <w:tcPr>
            <w:tcW w:w="916" w:type="dxa"/>
            <w:tcBorders>
              <w:top w:val="single" w:sz="2" w:space="0" w:color="808080"/>
              <w:bottom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560.323.454</w:t>
            </w:r>
          </w:p>
        </w:tc>
        <w:tc>
          <w:tcPr>
            <w:tcW w:w="916" w:type="dxa"/>
            <w:tcBorders>
              <w:top w:val="single" w:sz="2" w:space="0" w:color="808080"/>
              <w:bottom w:val="single" w:sz="2" w:space="0" w:color="808080"/>
              <w:right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551.183.570</w:t>
            </w:r>
          </w:p>
        </w:tc>
        <w:tc>
          <w:tcPr>
            <w:tcW w:w="979" w:type="dxa"/>
            <w:tcBorders>
              <w:top w:val="single" w:sz="2" w:space="0" w:color="808080"/>
              <w:left w:val="single" w:sz="2" w:space="0" w:color="808080"/>
              <w:bottom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79.157.390</w:t>
            </w:r>
          </w:p>
        </w:tc>
        <w:tc>
          <w:tcPr>
            <w:tcW w:w="846" w:type="dxa"/>
            <w:tcBorders>
              <w:top w:val="single" w:sz="2" w:space="0" w:color="808080"/>
            </w:tcBorders>
            <w:shd w:val="clear" w:color="000000" w:fill="D9D9D9"/>
            <w:noWrap/>
            <w:vAlign w:val="center"/>
            <w:hideMark/>
          </w:tcPr>
          <w:p w:rsidR="00935F1F" w:rsidRPr="00935F1F" w:rsidRDefault="00935F1F" w:rsidP="00935F1F">
            <w:pPr>
              <w:spacing w:after="0" w:line="240" w:lineRule="auto"/>
              <w:jc w:val="right"/>
              <w:rPr>
                <w:rFonts w:ascii="Times New Roman" w:eastAsia="Times New Roman" w:hAnsi="Times New Roman" w:cs="Times New Roman"/>
                <w:b/>
                <w:bCs/>
                <w:sz w:val="14"/>
                <w:szCs w:val="14"/>
              </w:rPr>
            </w:pPr>
            <w:r w:rsidRPr="00935F1F">
              <w:rPr>
                <w:rFonts w:ascii="Times New Roman" w:eastAsia="Times New Roman" w:hAnsi="Times New Roman" w:cs="Times New Roman"/>
                <w:b/>
                <w:bCs/>
                <w:sz w:val="14"/>
                <w:szCs w:val="14"/>
              </w:rPr>
              <w:t>88.297.274</w:t>
            </w:r>
          </w:p>
        </w:tc>
      </w:tr>
    </w:tbl>
    <w:p w:rsidR="009C6E11" w:rsidRDefault="009C6E11" w:rsidP="009F1F58">
      <w:pPr>
        <w:spacing w:line="240" w:lineRule="auto"/>
        <w:jc w:val="both"/>
        <w:rPr>
          <w:rFonts w:ascii="Times New Roman" w:hAnsi="Times New Roman" w:cs="Times New Roman"/>
          <w:b/>
          <w:sz w:val="24"/>
          <w:u w:val="single"/>
        </w:rPr>
      </w:pPr>
    </w:p>
    <w:p w:rsidR="005A094A" w:rsidRDefault="005A094A" w:rsidP="009F1F58">
      <w:pPr>
        <w:spacing w:line="240" w:lineRule="auto"/>
        <w:jc w:val="both"/>
        <w:rPr>
          <w:rFonts w:ascii="Times New Roman" w:hAnsi="Times New Roman" w:cs="Times New Roman"/>
          <w:b/>
          <w:sz w:val="24"/>
          <w:u w:val="single"/>
        </w:rPr>
      </w:pPr>
    </w:p>
    <w:p w:rsidR="00C36434" w:rsidRPr="009F1F58" w:rsidRDefault="00F03B32" w:rsidP="005A094A">
      <w:pPr>
        <w:spacing w:line="240" w:lineRule="auto"/>
        <w:rPr>
          <w:rFonts w:ascii="Times New Roman" w:hAnsi="Times New Roman" w:cs="Times New Roman"/>
          <w:sz w:val="24"/>
        </w:rPr>
      </w:pPr>
      <w:r>
        <w:rPr>
          <w:rFonts w:ascii="Times New Roman" w:hAnsi="Times New Roman" w:cs="Times New Roman"/>
          <w:b/>
          <w:sz w:val="24"/>
          <w:u w:val="single"/>
        </w:rPr>
        <w:t>IZVJEŠTAJ O DANIM ZAJMOVIMA I POTRAŽIVANJIMA PO DANIM ZAJMOVIMA</w:t>
      </w:r>
    </w:p>
    <w:p w:rsidR="00C36434" w:rsidRDefault="00F03B32">
      <w:pPr>
        <w:spacing w:line="240" w:lineRule="auto"/>
        <w:jc w:val="both"/>
      </w:pPr>
      <w:r>
        <w:rPr>
          <w:rFonts w:ascii="Times New Roman" w:hAnsi="Times New Roman" w:cs="Times New Roman"/>
          <w:sz w:val="24"/>
        </w:rPr>
        <w:t>U 2025. godini HŽ INFRASTRUKTURA d.o.o. nije davala zajmove.</w:t>
      </w:r>
    </w:p>
    <w:p w:rsidR="00C36434" w:rsidRDefault="00F03B32">
      <w:pPr>
        <w:spacing w:line="360" w:lineRule="auto"/>
      </w:pPr>
      <w:r>
        <w:rPr>
          <w:rFonts w:ascii="Times New Roman" w:hAnsi="Times New Roman" w:cs="Times New Roman"/>
          <w:b/>
          <w:sz w:val="24"/>
          <w:u w:val="single"/>
        </w:rPr>
        <w:br/>
        <w:t>IZVJEŠTAJ O STANJU POTRAŽIVANJA I DOSPJELIH OBVEZA TE O STANJU POTENCIJALNIH OBVEZA PO OSNOVI SUDSKIH SPOROVA</w:t>
      </w:r>
    </w:p>
    <w:p w:rsidR="00C36434" w:rsidRDefault="00F03B32">
      <w:pPr>
        <w:spacing w:line="240" w:lineRule="auto"/>
        <w:jc w:val="both"/>
      </w:pPr>
      <w:r>
        <w:rPr>
          <w:rFonts w:ascii="Times New Roman" w:hAnsi="Times New Roman" w:cs="Times New Roman"/>
          <w:b/>
          <w:color w:val="000000"/>
          <w:sz w:val="24"/>
        </w:rPr>
        <w:t>Stanje potraživanja</w:t>
      </w:r>
    </w:p>
    <w:p w:rsidR="00C36434" w:rsidRDefault="00F03B32">
      <w:pPr>
        <w:spacing w:line="240" w:lineRule="auto"/>
        <w:jc w:val="both"/>
      </w:pPr>
      <w:r>
        <w:rPr>
          <w:rFonts w:ascii="Times New Roman" w:hAnsi="Times New Roman" w:cs="Times New Roman"/>
          <w:color w:val="000000"/>
          <w:sz w:val="24"/>
        </w:rPr>
        <w:t xml:space="preserve">Stanje nenaplaćenih kratkoročnih potraživanja na dan 31.12.2025. </w:t>
      </w:r>
      <w:r w:rsidR="0071304F">
        <w:rPr>
          <w:rFonts w:ascii="Times New Roman" w:hAnsi="Times New Roman" w:cs="Times New Roman"/>
          <w:sz w:val="24"/>
        </w:rPr>
        <w:t xml:space="preserve">godine </w:t>
      </w:r>
      <w:r>
        <w:rPr>
          <w:rFonts w:ascii="Times New Roman" w:hAnsi="Times New Roman" w:cs="Times New Roman"/>
          <w:color w:val="000000"/>
          <w:sz w:val="24"/>
        </w:rPr>
        <w:t xml:space="preserve">iznosi </w:t>
      </w:r>
      <w:r>
        <w:rPr>
          <w:rFonts w:ascii="Times New Roman" w:hAnsi="Times New Roman" w:cs="Times New Roman"/>
          <w:sz w:val="24"/>
        </w:rPr>
        <w:t>48.163.829,12 EUR</w:t>
      </w:r>
      <w:r>
        <w:rPr>
          <w:rFonts w:ascii="Times New Roman" w:hAnsi="Times New Roman" w:cs="Times New Roman"/>
          <w:color w:val="FF0000"/>
          <w:sz w:val="24"/>
        </w:rPr>
        <w:t xml:space="preserve"> </w:t>
      </w:r>
      <w:r>
        <w:rPr>
          <w:rFonts w:ascii="Times New Roman" w:hAnsi="Times New Roman" w:cs="Times New Roman"/>
          <w:color w:val="000000"/>
          <w:sz w:val="24"/>
        </w:rPr>
        <w:t>koj</w:t>
      </w:r>
      <w:r w:rsidR="009F1F58">
        <w:rPr>
          <w:rFonts w:ascii="Times New Roman" w:hAnsi="Times New Roman" w:cs="Times New Roman"/>
          <w:color w:val="000000"/>
          <w:sz w:val="24"/>
        </w:rPr>
        <w:t>a</w:t>
      </w:r>
      <w:r>
        <w:rPr>
          <w:rFonts w:ascii="Times New Roman" w:hAnsi="Times New Roman" w:cs="Times New Roman"/>
          <w:color w:val="000000"/>
          <w:sz w:val="24"/>
        </w:rPr>
        <w:t xml:space="preserve"> uključuje i ispravak vrijednosti potraživanja u iznosu od </w:t>
      </w:r>
      <w:r>
        <w:rPr>
          <w:rFonts w:ascii="Times New Roman" w:hAnsi="Times New Roman" w:cs="Times New Roman"/>
          <w:sz w:val="24"/>
        </w:rPr>
        <w:t>5.211.126,16 EUR.</w:t>
      </w:r>
      <w:r w:rsidR="0071304F">
        <w:rPr>
          <w:rFonts w:ascii="Times New Roman" w:hAnsi="Times New Roman" w:cs="Times New Roman"/>
          <w:sz w:val="24"/>
        </w:rPr>
        <w:t xml:space="preserve"> </w:t>
      </w:r>
      <w:r>
        <w:rPr>
          <w:rFonts w:ascii="Times New Roman" w:hAnsi="Times New Roman" w:cs="Times New Roman"/>
          <w:color w:val="000000"/>
          <w:sz w:val="24"/>
        </w:rPr>
        <w:t xml:space="preserve">Od sveukupnih nenaplaćenih potraživanja u iznosu od 53.374.955,28 EUR, 9.147.179,88 EUR odnosi na dospjela potraživanja, a 44.227.775,40 EUR na nedospjela potraživanja. </w:t>
      </w:r>
    </w:p>
    <w:p w:rsidR="00C36434" w:rsidRDefault="00F03B32">
      <w:pPr>
        <w:spacing w:line="240" w:lineRule="auto"/>
        <w:jc w:val="both"/>
      </w:pPr>
      <w:r>
        <w:rPr>
          <w:rFonts w:ascii="Times New Roman" w:hAnsi="Times New Roman" w:cs="Times New Roman"/>
          <w:b/>
          <w:color w:val="000000"/>
          <w:sz w:val="24"/>
        </w:rPr>
        <w:t>Dospjele obveze</w:t>
      </w:r>
    </w:p>
    <w:p w:rsidR="00C36434" w:rsidRDefault="00F03B32">
      <w:pPr>
        <w:spacing w:line="240" w:lineRule="auto"/>
        <w:jc w:val="both"/>
      </w:pPr>
      <w:r>
        <w:rPr>
          <w:rFonts w:ascii="Times New Roman" w:hAnsi="Times New Roman" w:cs="Times New Roman"/>
          <w:color w:val="000000"/>
          <w:sz w:val="24"/>
        </w:rPr>
        <w:t xml:space="preserve">Stanje ukupnih nepodmirenih dospjelih obveza na dan 31.12.2025. </w:t>
      </w:r>
      <w:r w:rsidR="0071304F">
        <w:rPr>
          <w:rFonts w:ascii="Times New Roman" w:hAnsi="Times New Roman" w:cs="Times New Roman"/>
          <w:sz w:val="24"/>
        </w:rPr>
        <w:t>godine</w:t>
      </w:r>
      <w:r>
        <w:rPr>
          <w:rFonts w:ascii="Times New Roman" w:hAnsi="Times New Roman" w:cs="Times New Roman"/>
          <w:color w:val="000000"/>
          <w:sz w:val="24"/>
        </w:rPr>
        <w:t xml:space="preserve"> iznosi </w:t>
      </w:r>
      <w:r>
        <w:rPr>
          <w:rFonts w:ascii="Times New Roman" w:hAnsi="Times New Roman" w:cs="Times New Roman"/>
          <w:sz w:val="24"/>
        </w:rPr>
        <w:t>26.241.115,60 EUR od čega</w:t>
      </w:r>
      <w:r w:rsidR="0071304F">
        <w:rPr>
          <w:rFonts w:ascii="Times New Roman" w:hAnsi="Times New Roman" w:cs="Times New Roman"/>
          <w:sz w:val="24"/>
        </w:rPr>
        <w:t xml:space="preserve"> </w:t>
      </w:r>
      <w:r>
        <w:rPr>
          <w:rFonts w:ascii="Times New Roman" w:hAnsi="Times New Roman" w:cs="Times New Roman"/>
          <w:color w:val="000000"/>
          <w:sz w:val="24"/>
        </w:rPr>
        <w:t xml:space="preserve">se </w:t>
      </w:r>
      <w:r>
        <w:rPr>
          <w:rFonts w:ascii="Times New Roman" w:hAnsi="Times New Roman" w:cs="Times New Roman"/>
          <w:sz w:val="24"/>
        </w:rPr>
        <w:t>25.224.502,37 EUR</w:t>
      </w:r>
      <w:r>
        <w:rPr>
          <w:rFonts w:ascii="Times New Roman" w:hAnsi="Times New Roman" w:cs="Times New Roman"/>
          <w:color w:val="FF0000"/>
          <w:sz w:val="24"/>
        </w:rPr>
        <w:t xml:space="preserve"> </w:t>
      </w:r>
      <w:r>
        <w:rPr>
          <w:rFonts w:ascii="Times New Roman" w:hAnsi="Times New Roman" w:cs="Times New Roman"/>
          <w:color w:val="000000"/>
          <w:sz w:val="24"/>
        </w:rPr>
        <w:t>odnosi na obveze prema fondu za p</w:t>
      </w:r>
      <w:r w:rsidR="0071304F">
        <w:rPr>
          <w:rFonts w:ascii="Times New Roman" w:hAnsi="Times New Roman" w:cs="Times New Roman"/>
          <w:color w:val="000000"/>
          <w:sz w:val="24"/>
        </w:rPr>
        <w:t>rivatizaciju.</w:t>
      </w:r>
    </w:p>
    <w:p w:rsidR="00C36434" w:rsidRDefault="00F03B32">
      <w:pPr>
        <w:spacing w:line="240" w:lineRule="auto"/>
        <w:jc w:val="both"/>
      </w:pPr>
      <w:r>
        <w:rPr>
          <w:rFonts w:ascii="Times New Roman" w:hAnsi="Times New Roman" w:cs="Times New Roman"/>
          <w:b/>
          <w:sz w:val="24"/>
        </w:rPr>
        <w:t>Potencijalne obveze po osnovi sudskih sporova</w:t>
      </w:r>
    </w:p>
    <w:p w:rsidR="00C36434" w:rsidRDefault="00F03B32">
      <w:pPr>
        <w:spacing w:line="240" w:lineRule="auto"/>
        <w:jc w:val="both"/>
      </w:pPr>
      <w:r>
        <w:rPr>
          <w:rFonts w:ascii="Times New Roman" w:hAnsi="Times New Roman" w:cs="Times New Roman"/>
          <w:sz w:val="24"/>
        </w:rPr>
        <w:t xml:space="preserve">Stanje potencijalnih obveza po osnovi sudskih postupaka iznosi 22.244.462,37 EUR što se najvećim dijelom odnosi na predmete za naknadu šteta nastale zbog propusta odnosno nezgoda na </w:t>
      </w:r>
      <w:r w:rsidR="005A4411">
        <w:rPr>
          <w:rFonts w:ascii="Times New Roman" w:hAnsi="Times New Roman" w:cs="Times New Roman"/>
          <w:sz w:val="24"/>
        </w:rPr>
        <w:t>željezničkoj infrastrukturi</w:t>
      </w:r>
      <w:r>
        <w:rPr>
          <w:rFonts w:ascii="Times New Roman" w:hAnsi="Times New Roman" w:cs="Times New Roman"/>
          <w:sz w:val="24"/>
        </w:rPr>
        <w:t xml:space="preserve"> te na ostale sporove po pitanju vlasništva, radnih sporova i ostalo.</w:t>
      </w:r>
    </w:p>
    <w:p w:rsidR="00C36434" w:rsidRDefault="00F03B32">
      <w:pPr>
        <w:spacing w:line="360" w:lineRule="auto"/>
      </w:pPr>
      <w:r>
        <w:rPr>
          <w:rFonts w:ascii="Times New Roman" w:hAnsi="Times New Roman" w:cs="Times New Roman"/>
          <w:b/>
          <w:sz w:val="24"/>
          <w:u w:val="single"/>
        </w:rPr>
        <w:br/>
        <w:t>IZVJEŠTAJ O DANIM JAMSTVIMA I PLAĆANJIMA PO PROTESTIRANIM JAMSTVIMA</w:t>
      </w:r>
    </w:p>
    <w:p w:rsidR="00C36434" w:rsidRDefault="00F03B32">
      <w:pPr>
        <w:spacing w:line="240" w:lineRule="auto"/>
        <w:jc w:val="both"/>
      </w:pPr>
      <w:r>
        <w:rPr>
          <w:rFonts w:ascii="Times New Roman" w:hAnsi="Times New Roman" w:cs="Times New Roman"/>
          <w:sz w:val="24"/>
        </w:rPr>
        <w:t xml:space="preserve">U 2025. </w:t>
      </w:r>
      <w:r w:rsidR="0071304F">
        <w:rPr>
          <w:rFonts w:ascii="Times New Roman" w:hAnsi="Times New Roman" w:cs="Times New Roman"/>
          <w:sz w:val="24"/>
        </w:rPr>
        <w:t>godini</w:t>
      </w:r>
      <w:r>
        <w:rPr>
          <w:rFonts w:ascii="Times New Roman" w:hAnsi="Times New Roman" w:cs="Times New Roman"/>
          <w:sz w:val="24"/>
        </w:rPr>
        <w:t xml:space="preserve"> HŽ INFRASTRUKTURA d.o.o. nije izdala jamstva ni plaćala po protestiranim jamstvima.</w:t>
      </w:r>
    </w:p>
    <w:sectPr w:rsidR="00C36434" w:rsidSect="0093012C">
      <w:footerReference w:type="default" r:id="rId8"/>
      <w:pgSz w:w="11906" w:h="16838" w:code="9"/>
      <w:pgMar w:top="1417" w:right="1417" w:bottom="1417" w:left="1417" w:header="720" w:footer="720"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314" w:rsidRDefault="00672314" w:rsidP="0093012C">
      <w:pPr>
        <w:spacing w:after="0" w:line="240" w:lineRule="auto"/>
      </w:pPr>
      <w:r>
        <w:separator/>
      </w:r>
    </w:p>
  </w:endnote>
  <w:endnote w:type="continuationSeparator" w:id="0">
    <w:p w:rsidR="00672314" w:rsidRDefault="00672314" w:rsidP="00930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590809"/>
      <w:docPartObj>
        <w:docPartGallery w:val="Page Numbers (Bottom of Page)"/>
        <w:docPartUnique/>
      </w:docPartObj>
    </w:sdtPr>
    <w:sdtEndPr/>
    <w:sdtContent>
      <w:p w:rsidR="0096002C" w:rsidRDefault="0096002C">
        <w:pPr>
          <w:pStyle w:val="Podnoje"/>
          <w:jc w:val="center"/>
        </w:pPr>
        <w:r>
          <w:fldChar w:fldCharType="begin"/>
        </w:r>
        <w:r>
          <w:instrText>PAGE   \* MERGEFORMAT</w:instrText>
        </w:r>
        <w:r>
          <w:fldChar w:fldCharType="separate"/>
        </w:r>
        <w:r w:rsidR="008F376D">
          <w:rPr>
            <w:noProof/>
          </w:rPr>
          <w:t>25</w:t>
        </w:r>
        <w:r>
          <w:fldChar w:fldCharType="end"/>
        </w:r>
      </w:p>
    </w:sdtContent>
  </w:sdt>
  <w:p w:rsidR="0096002C" w:rsidRDefault="0096002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314" w:rsidRDefault="00672314" w:rsidP="0093012C">
      <w:pPr>
        <w:spacing w:after="0" w:line="240" w:lineRule="auto"/>
      </w:pPr>
      <w:r>
        <w:separator/>
      </w:r>
    </w:p>
  </w:footnote>
  <w:footnote w:type="continuationSeparator" w:id="0">
    <w:p w:rsidR="00672314" w:rsidRDefault="00672314" w:rsidP="009301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0D08"/>
    <w:multiLevelType w:val="hybridMultilevel"/>
    <w:tmpl w:val="3ADA26B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A5F670F"/>
    <w:multiLevelType w:val="hybridMultilevel"/>
    <w:tmpl w:val="E69A3CAA"/>
    <w:lvl w:ilvl="0" w:tplc="7BA4AD3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B677E4C"/>
    <w:multiLevelType w:val="hybridMultilevel"/>
    <w:tmpl w:val="635E8EEA"/>
    <w:lvl w:ilvl="0" w:tplc="6D945F96">
      <w:numFmt w:val="bullet"/>
      <w:lvlText w:val="-"/>
      <w:lvlJc w:val="left"/>
      <w:pPr>
        <w:ind w:left="719" w:hanging="435"/>
      </w:pPr>
      <w:rPr>
        <w:rFonts w:ascii="Times New Roman" w:eastAsiaTheme="minorEastAsia" w:hAnsi="Times New Roman" w:cs="Times New Roman" w:hint="default"/>
        <w:sz w:val="24"/>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 w15:restartNumberingAfterBreak="0">
    <w:nsid w:val="24352FBF"/>
    <w:multiLevelType w:val="hybridMultilevel"/>
    <w:tmpl w:val="CC487D72"/>
    <w:lvl w:ilvl="0" w:tplc="7BA4AD36">
      <w:start w:val="1"/>
      <w:numFmt w:val="bullet"/>
      <w:lvlText w:val=""/>
      <w:lvlJc w:val="left"/>
      <w:pPr>
        <w:ind w:left="360" w:hanging="360"/>
      </w:pPr>
      <w:rPr>
        <w:rFonts w:ascii="Symbol" w:hAnsi="Symbol" w:hint="default"/>
      </w:rPr>
    </w:lvl>
    <w:lvl w:ilvl="1" w:tplc="7BA4AD36">
      <w:start w:val="1"/>
      <w:numFmt w:val="bullet"/>
      <w:lvlText w:val=""/>
      <w:lvlJc w:val="left"/>
      <w:pPr>
        <w:ind w:left="1080" w:hanging="360"/>
      </w:pPr>
      <w:rPr>
        <w:rFonts w:ascii="Symbol" w:hAnsi="Symbo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64E4830"/>
    <w:multiLevelType w:val="hybridMultilevel"/>
    <w:tmpl w:val="157A6936"/>
    <w:lvl w:ilvl="0" w:tplc="7BA4AD36">
      <w:start w:val="1"/>
      <w:numFmt w:val="bullet"/>
      <w:lvlText w:val=""/>
      <w:lvlJc w:val="left"/>
      <w:pPr>
        <w:ind w:left="862" w:hanging="360"/>
      </w:pPr>
      <w:rPr>
        <w:rFonts w:ascii="Symbol" w:hAnsi="Symbol" w:hint="default"/>
      </w:rPr>
    </w:lvl>
    <w:lvl w:ilvl="1" w:tplc="041A0003">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5" w15:restartNumberingAfterBreak="0">
    <w:nsid w:val="26B82626"/>
    <w:multiLevelType w:val="hybridMultilevel"/>
    <w:tmpl w:val="54CCB1A4"/>
    <w:lvl w:ilvl="0" w:tplc="7BA4AD36">
      <w:start w:val="1"/>
      <w:numFmt w:val="bullet"/>
      <w:lvlText w:val=""/>
      <w:lvlJc w:val="left"/>
      <w:pPr>
        <w:ind w:left="862" w:hanging="360"/>
      </w:pPr>
      <w:rPr>
        <w:rFonts w:ascii="Symbol" w:hAnsi="Symbol" w:hint="default"/>
      </w:rPr>
    </w:lvl>
    <w:lvl w:ilvl="1" w:tplc="041A0003">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6" w15:restartNumberingAfterBreak="0">
    <w:nsid w:val="309F0B78"/>
    <w:multiLevelType w:val="hybridMultilevel"/>
    <w:tmpl w:val="75C22842"/>
    <w:lvl w:ilvl="0" w:tplc="7BA4AD3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16C2776"/>
    <w:multiLevelType w:val="hybridMultilevel"/>
    <w:tmpl w:val="13BA3248"/>
    <w:lvl w:ilvl="0" w:tplc="7BA4AD36">
      <w:start w:val="1"/>
      <w:numFmt w:val="bullet"/>
      <w:lvlText w:val=""/>
      <w:lvlJc w:val="left"/>
      <w:pPr>
        <w:ind w:left="360" w:hanging="360"/>
      </w:pPr>
      <w:rPr>
        <w:rFonts w:ascii="Symbol" w:hAnsi="Symbol" w:hint="default"/>
      </w:rPr>
    </w:lvl>
    <w:lvl w:ilvl="1" w:tplc="342A851E">
      <w:numFmt w:val="bullet"/>
      <w:lvlText w:val="-"/>
      <w:lvlJc w:val="left"/>
      <w:pPr>
        <w:ind w:left="1080" w:hanging="360"/>
      </w:pPr>
      <w:rPr>
        <w:rFonts w:ascii="Times New Roman" w:eastAsiaTheme="minorEastAsia" w:hAnsi="Times New Roman" w:cs="Times New Roman" w:hint="default"/>
        <w:sz w:val="24"/>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341A181F"/>
    <w:multiLevelType w:val="hybridMultilevel"/>
    <w:tmpl w:val="25BE4976"/>
    <w:lvl w:ilvl="0" w:tplc="041A0005">
      <w:start w:val="1"/>
      <w:numFmt w:val="bullet"/>
      <w:lvlText w:val=""/>
      <w:lvlJc w:val="left"/>
      <w:pPr>
        <w:ind w:left="1425" w:hanging="360"/>
      </w:pPr>
      <w:rPr>
        <w:rFonts w:ascii="Wingdings" w:hAnsi="Wingdings"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9" w15:restartNumberingAfterBreak="0">
    <w:nsid w:val="35EC5528"/>
    <w:multiLevelType w:val="hybridMultilevel"/>
    <w:tmpl w:val="1C9286CC"/>
    <w:lvl w:ilvl="0" w:tplc="778464CA">
      <w:numFmt w:val="bullet"/>
      <w:lvlText w:val="-"/>
      <w:lvlJc w:val="left"/>
      <w:pPr>
        <w:ind w:left="510" w:hanging="465"/>
      </w:pPr>
      <w:rPr>
        <w:rFonts w:ascii="Calibri" w:eastAsiaTheme="minorEastAsia"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10" w15:restartNumberingAfterBreak="0">
    <w:nsid w:val="3E2E1890"/>
    <w:multiLevelType w:val="hybridMultilevel"/>
    <w:tmpl w:val="21C6FE08"/>
    <w:lvl w:ilvl="0" w:tplc="7BA4AD36">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1" w15:restartNumberingAfterBreak="0">
    <w:nsid w:val="419E024D"/>
    <w:multiLevelType w:val="hybridMultilevel"/>
    <w:tmpl w:val="C694D5C6"/>
    <w:lvl w:ilvl="0" w:tplc="041A0005">
      <w:start w:val="1"/>
      <w:numFmt w:val="bullet"/>
      <w:lvlText w:val=""/>
      <w:lvlJc w:val="left"/>
      <w:pPr>
        <w:ind w:left="1077" w:hanging="360"/>
      </w:pPr>
      <w:rPr>
        <w:rFonts w:ascii="Wingdings" w:hAnsi="Wingdings"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12" w15:restartNumberingAfterBreak="0">
    <w:nsid w:val="4C726912"/>
    <w:multiLevelType w:val="hybridMultilevel"/>
    <w:tmpl w:val="59881EE4"/>
    <w:lvl w:ilvl="0" w:tplc="7BA4AD36">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3" w15:restartNumberingAfterBreak="0">
    <w:nsid w:val="53AA7AD1"/>
    <w:multiLevelType w:val="hybridMultilevel"/>
    <w:tmpl w:val="CF824BCC"/>
    <w:lvl w:ilvl="0" w:tplc="7BA4AD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E9E3067"/>
    <w:multiLevelType w:val="hybridMultilevel"/>
    <w:tmpl w:val="18781588"/>
    <w:lvl w:ilvl="0" w:tplc="041A0005">
      <w:start w:val="1"/>
      <w:numFmt w:val="bullet"/>
      <w:lvlText w:val=""/>
      <w:lvlJc w:val="left"/>
      <w:pPr>
        <w:ind w:left="360" w:hanging="360"/>
      </w:pPr>
      <w:rPr>
        <w:rFonts w:ascii="Wingdings" w:hAnsi="Wingdings" w:hint="default"/>
      </w:rPr>
    </w:lvl>
    <w:lvl w:ilvl="1" w:tplc="342A851E">
      <w:numFmt w:val="bullet"/>
      <w:lvlText w:val="-"/>
      <w:lvlJc w:val="left"/>
      <w:pPr>
        <w:ind w:left="1080" w:hanging="360"/>
      </w:pPr>
      <w:rPr>
        <w:rFonts w:ascii="Times New Roman" w:eastAsiaTheme="minorEastAsia" w:hAnsi="Times New Roman" w:cs="Times New Roman" w:hint="default"/>
        <w:sz w:val="24"/>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7D9211AB"/>
    <w:multiLevelType w:val="hybridMultilevel"/>
    <w:tmpl w:val="144E5C62"/>
    <w:lvl w:ilvl="0" w:tplc="7BA4AD36">
      <w:start w:val="1"/>
      <w:numFmt w:val="bullet"/>
      <w:lvlText w:val=""/>
      <w:lvlJc w:val="left"/>
      <w:pPr>
        <w:ind w:left="360" w:hanging="360"/>
      </w:pPr>
      <w:rPr>
        <w:rFonts w:ascii="Symbol" w:hAnsi="Symbol" w:hint="default"/>
      </w:rPr>
    </w:lvl>
    <w:lvl w:ilvl="1" w:tplc="7BA4AD36">
      <w:start w:val="1"/>
      <w:numFmt w:val="bullet"/>
      <w:lvlText w:val=""/>
      <w:lvlJc w:val="left"/>
      <w:pPr>
        <w:ind w:left="1080" w:hanging="360"/>
      </w:pPr>
      <w:rPr>
        <w:rFonts w:ascii="Symbol" w:hAnsi="Symbo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0"/>
  </w:num>
  <w:num w:numId="4">
    <w:abstractNumId w:val="14"/>
  </w:num>
  <w:num w:numId="5">
    <w:abstractNumId w:val="13"/>
  </w:num>
  <w:num w:numId="6">
    <w:abstractNumId w:val="2"/>
  </w:num>
  <w:num w:numId="7">
    <w:abstractNumId w:val="12"/>
  </w:num>
  <w:num w:numId="8">
    <w:abstractNumId w:val="9"/>
  </w:num>
  <w:num w:numId="9">
    <w:abstractNumId w:val="6"/>
  </w:num>
  <w:num w:numId="10">
    <w:abstractNumId w:val="1"/>
  </w:num>
  <w:num w:numId="11">
    <w:abstractNumId w:val="4"/>
  </w:num>
  <w:num w:numId="12">
    <w:abstractNumId w:val="15"/>
  </w:num>
  <w:num w:numId="13">
    <w:abstractNumId w:val="10"/>
  </w:num>
  <w:num w:numId="14">
    <w:abstractNumId w:val="7"/>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36434"/>
    <w:rsid w:val="00003A81"/>
    <w:rsid w:val="000125FB"/>
    <w:rsid w:val="0001358B"/>
    <w:rsid w:val="000552DC"/>
    <w:rsid w:val="000807E7"/>
    <w:rsid w:val="00096AEE"/>
    <w:rsid w:val="000B1637"/>
    <w:rsid w:val="000B19B6"/>
    <w:rsid w:val="000C6097"/>
    <w:rsid w:val="000F7D32"/>
    <w:rsid w:val="00101EB4"/>
    <w:rsid w:val="001029FE"/>
    <w:rsid w:val="0010658E"/>
    <w:rsid w:val="00134CE8"/>
    <w:rsid w:val="00144263"/>
    <w:rsid w:val="00156657"/>
    <w:rsid w:val="00157B69"/>
    <w:rsid w:val="00166E7B"/>
    <w:rsid w:val="0017465D"/>
    <w:rsid w:val="001C4AB7"/>
    <w:rsid w:val="001D10B1"/>
    <w:rsid w:val="001D274B"/>
    <w:rsid w:val="002358C8"/>
    <w:rsid w:val="0024001E"/>
    <w:rsid w:val="00280491"/>
    <w:rsid w:val="00295F8B"/>
    <w:rsid w:val="002A5F2C"/>
    <w:rsid w:val="002F3319"/>
    <w:rsid w:val="002F7B54"/>
    <w:rsid w:val="003233B6"/>
    <w:rsid w:val="003239E7"/>
    <w:rsid w:val="0034224E"/>
    <w:rsid w:val="003435F3"/>
    <w:rsid w:val="00365DEF"/>
    <w:rsid w:val="00377322"/>
    <w:rsid w:val="00382DD3"/>
    <w:rsid w:val="00391DBB"/>
    <w:rsid w:val="003B07D0"/>
    <w:rsid w:val="003D16FF"/>
    <w:rsid w:val="003D371D"/>
    <w:rsid w:val="003E2C22"/>
    <w:rsid w:val="004278E8"/>
    <w:rsid w:val="0045260F"/>
    <w:rsid w:val="00452DD1"/>
    <w:rsid w:val="00460172"/>
    <w:rsid w:val="004769B5"/>
    <w:rsid w:val="004925AB"/>
    <w:rsid w:val="004A78FA"/>
    <w:rsid w:val="004C2E08"/>
    <w:rsid w:val="004D650B"/>
    <w:rsid w:val="00506B61"/>
    <w:rsid w:val="005170D8"/>
    <w:rsid w:val="00520761"/>
    <w:rsid w:val="00530CB0"/>
    <w:rsid w:val="005325A4"/>
    <w:rsid w:val="0053464F"/>
    <w:rsid w:val="005533F4"/>
    <w:rsid w:val="0059064F"/>
    <w:rsid w:val="005A094A"/>
    <w:rsid w:val="005A4411"/>
    <w:rsid w:val="005A46DD"/>
    <w:rsid w:val="005B3ACD"/>
    <w:rsid w:val="005E0771"/>
    <w:rsid w:val="005E6B77"/>
    <w:rsid w:val="005E7713"/>
    <w:rsid w:val="005F5325"/>
    <w:rsid w:val="005F7696"/>
    <w:rsid w:val="006212E7"/>
    <w:rsid w:val="006274EB"/>
    <w:rsid w:val="006304EC"/>
    <w:rsid w:val="00672314"/>
    <w:rsid w:val="0068076C"/>
    <w:rsid w:val="00683134"/>
    <w:rsid w:val="00690633"/>
    <w:rsid w:val="006A1571"/>
    <w:rsid w:val="006E4117"/>
    <w:rsid w:val="006F54DB"/>
    <w:rsid w:val="00703A86"/>
    <w:rsid w:val="00706A60"/>
    <w:rsid w:val="0071304F"/>
    <w:rsid w:val="007139EC"/>
    <w:rsid w:val="007366A8"/>
    <w:rsid w:val="007636B4"/>
    <w:rsid w:val="00780F9D"/>
    <w:rsid w:val="00784AC0"/>
    <w:rsid w:val="007872B8"/>
    <w:rsid w:val="00792483"/>
    <w:rsid w:val="007A7330"/>
    <w:rsid w:val="007B4ED2"/>
    <w:rsid w:val="007C3E25"/>
    <w:rsid w:val="008060CC"/>
    <w:rsid w:val="00816C0A"/>
    <w:rsid w:val="00831E8A"/>
    <w:rsid w:val="00836178"/>
    <w:rsid w:val="0085292A"/>
    <w:rsid w:val="00861B23"/>
    <w:rsid w:val="008908B9"/>
    <w:rsid w:val="008A5C2A"/>
    <w:rsid w:val="008C01E2"/>
    <w:rsid w:val="008C50B8"/>
    <w:rsid w:val="008C7617"/>
    <w:rsid w:val="008E4A5E"/>
    <w:rsid w:val="008F376D"/>
    <w:rsid w:val="008F6A26"/>
    <w:rsid w:val="0093012C"/>
    <w:rsid w:val="009349D3"/>
    <w:rsid w:val="00935F1F"/>
    <w:rsid w:val="00940674"/>
    <w:rsid w:val="00955E10"/>
    <w:rsid w:val="0096002C"/>
    <w:rsid w:val="0098364D"/>
    <w:rsid w:val="009A105D"/>
    <w:rsid w:val="009B0748"/>
    <w:rsid w:val="009B7BEB"/>
    <w:rsid w:val="009C6E11"/>
    <w:rsid w:val="009C731C"/>
    <w:rsid w:val="009D60EF"/>
    <w:rsid w:val="009E0231"/>
    <w:rsid w:val="009E0D35"/>
    <w:rsid w:val="009E6182"/>
    <w:rsid w:val="009F1F58"/>
    <w:rsid w:val="00A111F3"/>
    <w:rsid w:val="00A37679"/>
    <w:rsid w:val="00A37A9D"/>
    <w:rsid w:val="00A41D52"/>
    <w:rsid w:val="00A470F5"/>
    <w:rsid w:val="00A81B74"/>
    <w:rsid w:val="00AC6918"/>
    <w:rsid w:val="00B01246"/>
    <w:rsid w:val="00B02DB5"/>
    <w:rsid w:val="00B05C52"/>
    <w:rsid w:val="00B6056A"/>
    <w:rsid w:val="00B738C2"/>
    <w:rsid w:val="00B75364"/>
    <w:rsid w:val="00B82174"/>
    <w:rsid w:val="00BA31D5"/>
    <w:rsid w:val="00BC6E3A"/>
    <w:rsid w:val="00BD7300"/>
    <w:rsid w:val="00BE5338"/>
    <w:rsid w:val="00BE7937"/>
    <w:rsid w:val="00C214DE"/>
    <w:rsid w:val="00C22282"/>
    <w:rsid w:val="00C23703"/>
    <w:rsid w:val="00C27DD5"/>
    <w:rsid w:val="00C36434"/>
    <w:rsid w:val="00C44681"/>
    <w:rsid w:val="00C447ED"/>
    <w:rsid w:val="00C60014"/>
    <w:rsid w:val="00C930C1"/>
    <w:rsid w:val="00CB2E2F"/>
    <w:rsid w:val="00CC1F0B"/>
    <w:rsid w:val="00CC71A7"/>
    <w:rsid w:val="00CE6ACC"/>
    <w:rsid w:val="00D07411"/>
    <w:rsid w:val="00D13E3D"/>
    <w:rsid w:val="00D362F1"/>
    <w:rsid w:val="00D37324"/>
    <w:rsid w:val="00D463A7"/>
    <w:rsid w:val="00D57754"/>
    <w:rsid w:val="00D67043"/>
    <w:rsid w:val="00D7428E"/>
    <w:rsid w:val="00D81271"/>
    <w:rsid w:val="00DA118B"/>
    <w:rsid w:val="00DA4758"/>
    <w:rsid w:val="00DB7341"/>
    <w:rsid w:val="00DC1D7D"/>
    <w:rsid w:val="00DD033F"/>
    <w:rsid w:val="00DE47BC"/>
    <w:rsid w:val="00E014CA"/>
    <w:rsid w:val="00E3125F"/>
    <w:rsid w:val="00E83122"/>
    <w:rsid w:val="00EC05C1"/>
    <w:rsid w:val="00EC0860"/>
    <w:rsid w:val="00EC2131"/>
    <w:rsid w:val="00EE2816"/>
    <w:rsid w:val="00F03B32"/>
    <w:rsid w:val="00F229CB"/>
    <w:rsid w:val="00F56111"/>
    <w:rsid w:val="00F630E0"/>
    <w:rsid w:val="00F81494"/>
    <w:rsid w:val="00FA3623"/>
    <w:rsid w:val="00FB37E1"/>
    <w:rsid w:val="00FC364A"/>
    <w:rsid w:val="00FD6D64"/>
    <w:rsid w:val="00FF7A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AE773"/>
  <w15:docId w15:val="{466CA789-F727-45E8-B937-7E1BAADC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glaencitat">
    <w:name w:val="Intense Quote"/>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table" w:styleId="Reetkatablice">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24001E"/>
    <w:pPr>
      <w:ind w:left="720"/>
      <w:contextualSpacing/>
    </w:pPr>
  </w:style>
  <w:style w:type="table" w:customStyle="1" w:styleId="Reetkatablice1">
    <w:name w:val="Rešetka tablice1"/>
    <w:next w:val="Reetkatablice"/>
    <w:rsid w:val="004769B5"/>
    <w:pPr>
      <w:spacing w:after="0" w:line="240" w:lineRule="auto"/>
    </w:pPr>
    <w:rPr>
      <w:kern w:val="2"/>
      <w:sz w:val="24"/>
      <w:szCs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uiPriority w:val="99"/>
    <w:semiHidden/>
    <w:unhideWhenUsed/>
    <w:rsid w:val="00F03B3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03B32"/>
    <w:rPr>
      <w:rFonts w:ascii="Segoe UI" w:hAnsi="Segoe UI" w:cs="Segoe UI"/>
      <w:sz w:val="18"/>
      <w:szCs w:val="18"/>
    </w:rPr>
  </w:style>
  <w:style w:type="paragraph" w:styleId="Zaglavlje">
    <w:name w:val="header"/>
    <w:basedOn w:val="Normal"/>
    <w:link w:val="ZaglavljeChar"/>
    <w:uiPriority w:val="99"/>
    <w:unhideWhenUsed/>
    <w:rsid w:val="0093012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3012C"/>
  </w:style>
  <w:style w:type="paragraph" w:styleId="Podnoje">
    <w:name w:val="footer"/>
    <w:basedOn w:val="Normal"/>
    <w:link w:val="PodnojeChar"/>
    <w:uiPriority w:val="99"/>
    <w:unhideWhenUsed/>
    <w:rsid w:val="0093012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3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2648-6D7B-4CF5-ADD0-DEE3399A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19</Pages>
  <Words>6902</Words>
  <Characters>39342</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Ivana Hegeduš</cp:lastModifiedBy>
  <cp:revision>186</cp:revision>
  <cp:lastPrinted>2026-03-27T11:15:00Z</cp:lastPrinted>
  <dcterms:created xsi:type="dcterms:W3CDTF">2026-03-27T10:26:00Z</dcterms:created>
  <dcterms:modified xsi:type="dcterms:W3CDTF">2026-04-28T12:17:00Z</dcterms:modified>
</cp:coreProperties>
</file>